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42958367"/>
        <w:docPartObj>
          <w:docPartGallery w:val="Cover Pages"/>
          <w:docPartUnique/>
        </w:docPartObj>
      </w:sdtPr>
      <w:sdtEndPr>
        <w:rPr>
          <w:b/>
          <w:sz w:val="24"/>
          <w:szCs w:val="24"/>
        </w:rPr>
      </w:sdtEndPr>
      <w:sdtContent>
        <w:p w14:paraId="053A781E" w14:textId="77777777" w:rsidR="00CE60DE" w:rsidRDefault="00CE60DE" w:rsidP="00CE60DE">
          <w:r>
            <w:rPr>
              <w:noProof/>
            </w:rPr>
            <w:drawing>
              <wp:anchor distT="0" distB="0" distL="114300" distR="114300" simplePos="0" relativeHeight="251659264" behindDoc="0" locked="0" layoutInCell="0" allowOverlap="1" wp14:anchorId="53FFAD5A" wp14:editId="12AA347C">
                <wp:simplePos x="0" y="0"/>
                <wp:positionH relativeFrom="margin">
                  <wp:posOffset>0</wp:posOffset>
                </wp:positionH>
                <wp:positionV relativeFrom="page">
                  <wp:posOffset>933450</wp:posOffset>
                </wp:positionV>
                <wp:extent cx="5577840" cy="1151890"/>
                <wp:effectExtent l="19050" t="19050" r="22860" b="10160"/>
                <wp:wrapNone/>
                <wp:docPr id="8"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11" cstate="print"/>
                        <a:srcRect/>
                        <a:stretch>
                          <a:fillRect/>
                        </a:stretch>
                      </pic:blipFill>
                      <pic:spPr bwMode="auto">
                        <a:xfrm>
                          <a:off x="0" y="0"/>
                          <a:ext cx="5577840" cy="1151890"/>
                        </a:xfrm>
                        <a:prstGeom prst="rect">
                          <a:avLst/>
                        </a:prstGeom>
                        <a:noFill/>
                        <a:ln w="12700">
                          <a:solidFill>
                            <a:srgbClr val="FFFFFF"/>
                          </a:solidFill>
                          <a:miter lim="800000"/>
                          <a:headEnd/>
                          <a:tailEnd/>
                        </a:ln>
                      </pic:spPr>
                    </pic:pic>
                  </a:graphicData>
                </a:graphic>
              </wp:anchor>
            </w:drawing>
          </w:r>
        </w:p>
        <w:p w14:paraId="2F1EC2EC" w14:textId="77777777" w:rsidR="00CE60DE" w:rsidRDefault="00CE60DE" w:rsidP="00CE60DE">
          <w:pPr>
            <w:rPr>
              <w:b/>
              <w:sz w:val="24"/>
              <w:szCs w:val="24"/>
            </w:rPr>
          </w:pPr>
          <w:r w:rsidRPr="00E24BAC">
            <w:rPr>
              <w:b/>
              <w:noProof/>
              <w:sz w:val="24"/>
              <w:szCs w:val="24"/>
            </w:rPr>
            <mc:AlternateContent>
              <mc:Choice Requires="wps">
                <w:drawing>
                  <wp:anchor distT="45720" distB="45720" distL="114300" distR="114300" simplePos="0" relativeHeight="251660288" behindDoc="0" locked="0" layoutInCell="1" allowOverlap="1" wp14:anchorId="26AC23E8" wp14:editId="34EA513A">
                    <wp:simplePos x="0" y="0"/>
                    <wp:positionH relativeFrom="margin">
                      <wp:align>left</wp:align>
                    </wp:positionH>
                    <wp:positionV relativeFrom="paragraph">
                      <wp:posOffset>3166745</wp:posOffset>
                    </wp:positionV>
                    <wp:extent cx="5791200" cy="2255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55520"/>
                            </a:xfrm>
                            <a:prstGeom prst="rect">
                              <a:avLst/>
                            </a:prstGeom>
                            <a:solidFill>
                              <a:srgbClr val="FFFFFF"/>
                            </a:solidFill>
                            <a:ln w="9525">
                              <a:noFill/>
                              <a:miter lim="800000"/>
                              <a:headEnd/>
                              <a:tailEnd/>
                            </a:ln>
                          </wps:spPr>
                          <wps:txbx>
                            <w:txbxContent>
                              <w:p w14:paraId="66A3EBD2" w14:textId="77777777" w:rsidR="000072ED" w:rsidRPr="00E24BAC" w:rsidRDefault="000072ED" w:rsidP="00CE60DE">
                                <w:pPr>
                                  <w:jc w:val="center"/>
                                  <w:rPr>
                                    <w:sz w:val="72"/>
                                    <w:szCs w:val="72"/>
                                  </w:rPr>
                                </w:pPr>
                                <w:r w:rsidRPr="00E24BAC">
                                  <w:rPr>
                                    <w:sz w:val="72"/>
                                    <w:szCs w:val="72"/>
                                  </w:rPr>
                                  <w:t>Hospital Inpatient Reimbursement Methodology</w:t>
                                </w:r>
                              </w:p>
                              <w:p w14:paraId="399AC8A8" w14:textId="77777777" w:rsidR="000072ED" w:rsidRDefault="000072ED" w:rsidP="00CE60DE">
                                <w:pPr>
                                  <w:rPr>
                                    <w:sz w:val="48"/>
                                    <w:szCs w:val="48"/>
                                  </w:rPr>
                                </w:pPr>
                              </w:p>
                              <w:p w14:paraId="0210A80E" w14:textId="28DDA39B" w:rsidR="000072ED" w:rsidRPr="00E24BAC" w:rsidRDefault="000072ED" w:rsidP="00CE60DE">
                                <w:pPr>
                                  <w:jc w:val="center"/>
                                  <w:rPr>
                                    <w:sz w:val="48"/>
                                    <w:szCs w:val="48"/>
                                  </w:rPr>
                                </w:pPr>
                                <w:r w:rsidRPr="00E24BAC">
                                  <w:rPr>
                                    <w:sz w:val="48"/>
                                    <w:szCs w:val="48"/>
                                  </w:rPr>
                                  <w:t>BWC Rate Year 202</w:t>
                                </w:r>
                                <w:r>
                                  <w:rPr>
                                    <w:sz w:val="48"/>
                                    <w:szCs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C23E8" id="_x0000_t202" coordsize="21600,21600" o:spt="202" path="m,l,21600r21600,l21600,xe">
                    <v:stroke joinstyle="miter"/>
                    <v:path gradientshapeok="t" o:connecttype="rect"/>
                  </v:shapetype>
                  <v:shape id="Text Box 2" o:spid="_x0000_s1026" type="#_x0000_t202" style="position:absolute;margin-left:0;margin-top:249.35pt;width:456pt;height:177.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" stroked="f">
                    <v:textbox>
                      <w:txbxContent>
                        <w:p w14:paraId="66A3EBD2" w14:textId="77777777" w:rsidR="000072ED" w:rsidRPr="00E24BAC" w:rsidRDefault="000072ED" w:rsidP="00CE60DE">
                          <w:pPr>
                            <w:jc w:val="center"/>
                            <w:rPr>
                              <w:sz w:val="72"/>
                              <w:szCs w:val="72"/>
                            </w:rPr>
                          </w:pPr>
                          <w:r w:rsidRPr="00E24BAC">
                            <w:rPr>
                              <w:sz w:val="72"/>
                              <w:szCs w:val="72"/>
                            </w:rPr>
                            <w:t>Hospital Inpatient Reimbursement Methodology</w:t>
                          </w:r>
                        </w:p>
                        <w:p w14:paraId="399AC8A8" w14:textId="77777777" w:rsidR="000072ED" w:rsidRDefault="000072ED" w:rsidP="00CE60DE">
                          <w:pPr>
                            <w:rPr>
                              <w:sz w:val="48"/>
                              <w:szCs w:val="48"/>
                            </w:rPr>
                          </w:pPr>
                        </w:p>
                        <w:p w14:paraId="0210A80E" w14:textId="28DDA39B" w:rsidR="000072ED" w:rsidRPr="00E24BAC" w:rsidRDefault="000072ED" w:rsidP="00CE60DE">
                          <w:pPr>
                            <w:jc w:val="center"/>
                            <w:rPr>
                              <w:sz w:val="48"/>
                              <w:szCs w:val="48"/>
                            </w:rPr>
                          </w:pPr>
                          <w:r w:rsidRPr="00E24BAC">
                            <w:rPr>
                              <w:sz w:val="48"/>
                              <w:szCs w:val="48"/>
                            </w:rPr>
                            <w:t>BWC Rate Year 202</w:t>
                          </w:r>
                          <w:r>
                            <w:rPr>
                              <w:sz w:val="48"/>
                              <w:szCs w:val="48"/>
                            </w:rPr>
                            <w:t>1</w:t>
                          </w:r>
                        </w:p>
                      </w:txbxContent>
                    </v:textbox>
                    <w10:wrap type="square" anchorx="margin"/>
                  </v:shape>
                </w:pict>
              </mc:Fallback>
            </mc:AlternateContent>
          </w:r>
          <w:r>
            <w:rPr>
              <w:b/>
              <w:sz w:val="24"/>
              <w:szCs w:val="24"/>
            </w:rPr>
            <w:br w:type="page"/>
          </w:r>
        </w:p>
      </w:sdtContent>
    </w:sdt>
    <w:sdt>
      <w:sdtPr>
        <w:rPr>
          <w:rFonts w:asciiTheme="minorHAnsi" w:eastAsiaTheme="minorEastAsia" w:hAnsiTheme="minorHAnsi" w:cstheme="minorBidi"/>
          <w:color w:val="auto"/>
          <w:sz w:val="20"/>
          <w:szCs w:val="20"/>
        </w:rPr>
        <w:id w:val="2063823590"/>
        <w:docPartObj>
          <w:docPartGallery w:val="Table of Contents"/>
          <w:docPartUnique/>
        </w:docPartObj>
      </w:sdtPr>
      <w:sdtEndPr>
        <w:rPr>
          <w:b/>
          <w:bCs/>
          <w:noProof/>
        </w:rPr>
      </w:sdtEndPr>
      <w:sdtContent>
        <w:p w14:paraId="4A28936A" w14:textId="77777777" w:rsidR="00E76981" w:rsidRPr="00B63C03" w:rsidRDefault="00E76981" w:rsidP="00FB09CE">
          <w:pPr>
            <w:pStyle w:val="TOCHeading"/>
            <w:tabs>
              <w:tab w:val="left" w:pos="8820"/>
            </w:tabs>
            <w:rPr>
              <w:b/>
            </w:rPr>
          </w:pPr>
          <w:r w:rsidRPr="00B63C03">
            <w:rPr>
              <w:b/>
            </w:rPr>
            <w:t>Contents</w:t>
          </w:r>
        </w:p>
        <w:p w14:paraId="11AC2A22" w14:textId="77777777" w:rsidR="00B63C03" w:rsidRPr="00B63C03" w:rsidRDefault="00B63C03" w:rsidP="00B63C03"/>
        <w:p w14:paraId="6ADF3D62" w14:textId="03E2D825" w:rsidR="006E2DBC" w:rsidRDefault="00E76981">
          <w:pPr>
            <w:pStyle w:val="TOC1"/>
            <w:tabs>
              <w:tab w:val="right" w:leader="dot" w:pos="9350"/>
            </w:tabs>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56580512" w:history="1">
            <w:r w:rsidR="006E2DBC" w:rsidRPr="00690E66">
              <w:rPr>
                <w:rStyle w:val="Hyperlink"/>
                <w:b/>
                <w:noProof/>
              </w:rPr>
              <w:t>Introduction</w:t>
            </w:r>
            <w:r w:rsidR="006E2DBC">
              <w:rPr>
                <w:noProof/>
                <w:webHidden/>
              </w:rPr>
              <w:tab/>
            </w:r>
            <w:r w:rsidR="006E2DBC">
              <w:rPr>
                <w:noProof/>
                <w:webHidden/>
              </w:rPr>
              <w:fldChar w:fldCharType="begin"/>
            </w:r>
            <w:r w:rsidR="006E2DBC">
              <w:rPr>
                <w:noProof/>
                <w:webHidden/>
              </w:rPr>
              <w:instrText xml:space="preserve"> PAGEREF _Toc56580512 \h </w:instrText>
            </w:r>
            <w:r w:rsidR="006E2DBC">
              <w:rPr>
                <w:noProof/>
                <w:webHidden/>
              </w:rPr>
            </w:r>
            <w:r w:rsidR="006E2DBC">
              <w:rPr>
                <w:noProof/>
                <w:webHidden/>
              </w:rPr>
              <w:fldChar w:fldCharType="separate"/>
            </w:r>
            <w:r w:rsidR="006E2DBC">
              <w:rPr>
                <w:noProof/>
                <w:webHidden/>
              </w:rPr>
              <w:t>2</w:t>
            </w:r>
            <w:r w:rsidR="006E2DBC">
              <w:rPr>
                <w:noProof/>
                <w:webHidden/>
              </w:rPr>
              <w:fldChar w:fldCharType="end"/>
            </w:r>
          </w:hyperlink>
        </w:p>
        <w:p w14:paraId="1142BBE2" w14:textId="4C87354C" w:rsidR="006E2DBC" w:rsidRDefault="00922B31">
          <w:pPr>
            <w:pStyle w:val="TOC1"/>
            <w:tabs>
              <w:tab w:val="right" w:leader="dot" w:pos="9350"/>
            </w:tabs>
            <w:rPr>
              <w:noProof/>
              <w:sz w:val="22"/>
              <w:szCs w:val="22"/>
            </w:rPr>
          </w:pPr>
          <w:hyperlink w:anchor="_Toc56580513" w:history="1">
            <w:r w:rsidR="006E2DBC" w:rsidRPr="00690E66">
              <w:rPr>
                <w:rStyle w:val="Hyperlink"/>
                <w:b/>
                <w:noProof/>
              </w:rPr>
              <w:t>Overview of Inpatient Reimbursement Methodologies</w:t>
            </w:r>
            <w:r w:rsidR="006E2DBC">
              <w:rPr>
                <w:noProof/>
                <w:webHidden/>
              </w:rPr>
              <w:tab/>
            </w:r>
            <w:r w:rsidR="006E2DBC">
              <w:rPr>
                <w:noProof/>
                <w:webHidden/>
              </w:rPr>
              <w:fldChar w:fldCharType="begin"/>
            </w:r>
            <w:r w:rsidR="006E2DBC">
              <w:rPr>
                <w:noProof/>
                <w:webHidden/>
              </w:rPr>
              <w:instrText xml:space="preserve"> PAGEREF _Toc56580513 \h </w:instrText>
            </w:r>
            <w:r w:rsidR="006E2DBC">
              <w:rPr>
                <w:noProof/>
                <w:webHidden/>
              </w:rPr>
            </w:r>
            <w:r w:rsidR="006E2DBC">
              <w:rPr>
                <w:noProof/>
                <w:webHidden/>
              </w:rPr>
              <w:fldChar w:fldCharType="separate"/>
            </w:r>
            <w:r w:rsidR="006E2DBC">
              <w:rPr>
                <w:noProof/>
                <w:webHidden/>
              </w:rPr>
              <w:t>3</w:t>
            </w:r>
            <w:r w:rsidR="006E2DBC">
              <w:rPr>
                <w:noProof/>
                <w:webHidden/>
              </w:rPr>
              <w:fldChar w:fldCharType="end"/>
            </w:r>
          </w:hyperlink>
        </w:p>
        <w:p w14:paraId="482E9A81" w14:textId="0FAFF834" w:rsidR="006E2DBC" w:rsidRDefault="00922B31">
          <w:pPr>
            <w:pStyle w:val="TOC2"/>
            <w:tabs>
              <w:tab w:val="right" w:leader="dot" w:pos="9350"/>
            </w:tabs>
            <w:rPr>
              <w:noProof/>
              <w:sz w:val="22"/>
              <w:szCs w:val="22"/>
            </w:rPr>
          </w:pPr>
          <w:hyperlink w:anchor="_Toc56580514" w:history="1">
            <w:r w:rsidR="006E2DBC" w:rsidRPr="00690E66">
              <w:rPr>
                <w:rStyle w:val="Hyperlink"/>
                <w:noProof/>
              </w:rPr>
              <w:t>A. Definition of Inpatient Services</w:t>
            </w:r>
            <w:r w:rsidR="006E2DBC">
              <w:rPr>
                <w:noProof/>
                <w:webHidden/>
              </w:rPr>
              <w:tab/>
            </w:r>
            <w:r w:rsidR="006E2DBC">
              <w:rPr>
                <w:noProof/>
                <w:webHidden/>
              </w:rPr>
              <w:fldChar w:fldCharType="begin"/>
            </w:r>
            <w:r w:rsidR="006E2DBC">
              <w:rPr>
                <w:noProof/>
                <w:webHidden/>
              </w:rPr>
              <w:instrText xml:space="preserve"> PAGEREF _Toc56580514 \h </w:instrText>
            </w:r>
            <w:r w:rsidR="006E2DBC">
              <w:rPr>
                <w:noProof/>
                <w:webHidden/>
              </w:rPr>
            </w:r>
            <w:r w:rsidR="006E2DBC">
              <w:rPr>
                <w:noProof/>
                <w:webHidden/>
              </w:rPr>
              <w:fldChar w:fldCharType="separate"/>
            </w:r>
            <w:r w:rsidR="006E2DBC">
              <w:rPr>
                <w:noProof/>
                <w:webHidden/>
              </w:rPr>
              <w:t>3</w:t>
            </w:r>
            <w:r w:rsidR="006E2DBC">
              <w:rPr>
                <w:noProof/>
                <w:webHidden/>
              </w:rPr>
              <w:fldChar w:fldCharType="end"/>
            </w:r>
          </w:hyperlink>
        </w:p>
        <w:p w14:paraId="3EEA12B1" w14:textId="4696966A" w:rsidR="006E2DBC" w:rsidRDefault="00922B31">
          <w:pPr>
            <w:pStyle w:val="TOC2"/>
            <w:tabs>
              <w:tab w:val="right" w:leader="dot" w:pos="9350"/>
            </w:tabs>
            <w:rPr>
              <w:noProof/>
              <w:sz w:val="22"/>
              <w:szCs w:val="22"/>
            </w:rPr>
          </w:pPr>
          <w:hyperlink w:anchor="_Toc56580515" w:history="1">
            <w:r w:rsidR="006E2DBC" w:rsidRPr="00690E66">
              <w:rPr>
                <w:rStyle w:val="Hyperlink"/>
                <w:noProof/>
              </w:rPr>
              <w:t>B. BWC Hospital Types</w:t>
            </w:r>
            <w:r w:rsidR="006E2DBC">
              <w:rPr>
                <w:noProof/>
                <w:webHidden/>
              </w:rPr>
              <w:tab/>
            </w:r>
            <w:r w:rsidR="006E2DBC">
              <w:rPr>
                <w:noProof/>
                <w:webHidden/>
              </w:rPr>
              <w:fldChar w:fldCharType="begin"/>
            </w:r>
            <w:r w:rsidR="006E2DBC">
              <w:rPr>
                <w:noProof/>
                <w:webHidden/>
              </w:rPr>
              <w:instrText xml:space="preserve"> PAGEREF _Toc56580515 \h </w:instrText>
            </w:r>
            <w:r w:rsidR="006E2DBC">
              <w:rPr>
                <w:noProof/>
                <w:webHidden/>
              </w:rPr>
            </w:r>
            <w:r w:rsidR="006E2DBC">
              <w:rPr>
                <w:noProof/>
                <w:webHidden/>
              </w:rPr>
              <w:fldChar w:fldCharType="separate"/>
            </w:r>
            <w:r w:rsidR="006E2DBC">
              <w:rPr>
                <w:noProof/>
                <w:webHidden/>
              </w:rPr>
              <w:t>3</w:t>
            </w:r>
            <w:r w:rsidR="006E2DBC">
              <w:rPr>
                <w:noProof/>
                <w:webHidden/>
              </w:rPr>
              <w:fldChar w:fldCharType="end"/>
            </w:r>
          </w:hyperlink>
        </w:p>
        <w:p w14:paraId="34DBE33F" w14:textId="5DC54E71" w:rsidR="006E2DBC" w:rsidRDefault="00922B31">
          <w:pPr>
            <w:pStyle w:val="TOC2"/>
            <w:tabs>
              <w:tab w:val="right" w:leader="dot" w:pos="9350"/>
            </w:tabs>
            <w:rPr>
              <w:noProof/>
              <w:sz w:val="22"/>
              <w:szCs w:val="22"/>
            </w:rPr>
          </w:pPr>
          <w:hyperlink w:anchor="_Toc56580516" w:history="1">
            <w:r w:rsidR="006E2DBC" w:rsidRPr="00690E66">
              <w:rPr>
                <w:rStyle w:val="Hyperlink"/>
                <w:noProof/>
              </w:rPr>
              <w:t>C. BWC Inpatient Methodologies</w:t>
            </w:r>
            <w:r w:rsidR="006E2DBC">
              <w:rPr>
                <w:noProof/>
                <w:webHidden/>
              </w:rPr>
              <w:tab/>
            </w:r>
            <w:r w:rsidR="006E2DBC">
              <w:rPr>
                <w:noProof/>
                <w:webHidden/>
              </w:rPr>
              <w:fldChar w:fldCharType="begin"/>
            </w:r>
            <w:r w:rsidR="006E2DBC">
              <w:rPr>
                <w:noProof/>
                <w:webHidden/>
              </w:rPr>
              <w:instrText xml:space="preserve"> PAGEREF _Toc56580516 \h </w:instrText>
            </w:r>
            <w:r w:rsidR="006E2DBC">
              <w:rPr>
                <w:noProof/>
                <w:webHidden/>
              </w:rPr>
            </w:r>
            <w:r w:rsidR="006E2DBC">
              <w:rPr>
                <w:noProof/>
                <w:webHidden/>
              </w:rPr>
              <w:fldChar w:fldCharType="separate"/>
            </w:r>
            <w:r w:rsidR="006E2DBC">
              <w:rPr>
                <w:noProof/>
                <w:webHidden/>
              </w:rPr>
              <w:t>3</w:t>
            </w:r>
            <w:r w:rsidR="006E2DBC">
              <w:rPr>
                <w:noProof/>
                <w:webHidden/>
              </w:rPr>
              <w:fldChar w:fldCharType="end"/>
            </w:r>
          </w:hyperlink>
        </w:p>
        <w:p w14:paraId="72A9C4A5" w14:textId="10338947" w:rsidR="006E2DBC" w:rsidRDefault="00922B31">
          <w:pPr>
            <w:pStyle w:val="TOC2"/>
            <w:tabs>
              <w:tab w:val="right" w:leader="dot" w:pos="9350"/>
            </w:tabs>
            <w:rPr>
              <w:noProof/>
              <w:sz w:val="22"/>
              <w:szCs w:val="22"/>
            </w:rPr>
          </w:pPr>
          <w:hyperlink w:anchor="_Toc56580517" w:history="1">
            <w:r w:rsidR="006E2DBC" w:rsidRPr="00690E66">
              <w:rPr>
                <w:rStyle w:val="Hyperlink"/>
                <w:noProof/>
              </w:rPr>
              <w:t>D. Determining the Appropriate Inpatient Reimbursement Methodology</w:t>
            </w:r>
            <w:r w:rsidR="006E2DBC">
              <w:rPr>
                <w:noProof/>
                <w:webHidden/>
              </w:rPr>
              <w:tab/>
            </w:r>
            <w:r w:rsidR="006E2DBC">
              <w:rPr>
                <w:noProof/>
                <w:webHidden/>
              </w:rPr>
              <w:fldChar w:fldCharType="begin"/>
            </w:r>
            <w:r w:rsidR="006E2DBC">
              <w:rPr>
                <w:noProof/>
                <w:webHidden/>
              </w:rPr>
              <w:instrText xml:space="preserve"> PAGEREF _Toc56580517 \h </w:instrText>
            </w:r>
            <w:r w:rsidR="006E2DBC">
              <w:rPr>
                <w:noProof/>
                <w:webHidden/>
              </w:rPr>
            </w:r>
            <w:r w:rsidR="006E2DBC">
              <w:rPr>
                <w:noProof/>
                <w:webHidden/>
              </w:rPr>
              <w:fldChar w:fldCharType="separate"/>
            </w:r>
            <w:r w:rsidR="006E2DBC">
              <w:rPr>
                <w:noProof/>
                <w:webHidden/>
              </w:rPr>
              <w:t>4</w:t>
            </w:r>
            <w:r w:rsidR="006E2DBC">
              <w:rPr>
                <w:noProof/>
                <w:webHidden/>
              </w:rPr>
              <w:fldChar w:fldCharType="end"/>
            </w:r>
          </w:hyperlink>
        </w:p>
        <w:p w14:paraId="75E9E932" w14:textId="37C6E5DD" w:rsidR="006E2DBC" w:rsidRDefault="00922B31">
          <w:pPr>
            <w:pStyle w:val="TOC1"/>
            <w:tabs>
              <w:tab w:val="right" w:leader="dot" w:pos="9350"/>
            </w:tabs>
            <w:rPr>
              <w:noProof/>
              <w:sz w:val="22"/>
              <w:szCs w:val="22"/>
            </w:rPr>
          </w:pPr>
          <w:hyperlink w:anchor="_Toc56580518" w:history="1">
            <w:r w:rsidR="006E2DBC" w:rsidRPr="00690E66">
              <w:rPr>
                <w:rStyle w:val="Hyperlink"/>
                <w:b/>
                <w:noProof/>
              </w:rPr>
              <w:t>Methodology 1: BWC Reimbursement for Medicare IPPS-Eligible Hospitals</w:t>
            </w:r>
            <w:r w:rsidR="006E2DBC">
              <w:rPr>
                <w:noProof/>
                <w:webHidden/>
              </w:rPr>
              <w:tab/>
            </w:r>
            <w:r w:rsidR="006E2DBC">
              <w:rPr>
                <w:noProof/>
                <w:webHidden/>
              </w:rPr>
              <w:fldChar w:fldCharType="begin"/>
            </w:r>
            <w:r w:rsidR="006E2DBC">
              <w:rPr>
                <w:noProof/>
                <w:webHidden/>
              </w:rPr>
              <w:instrText xml:space="preserve"> PAGEREF _Toc56580518 \h </w:instrText>
            </w:r>
            <w:r w:rsidR="006E2DBC">
              <w:rPr>
                <w:noProof/>
                <w:webHidden/>
              </w:rPr>
            </w:r>
            <w:r w:rsidR="006E2DBC">
              <w:rPr>
                <w:noProof/>
                <w:webHidden/>
              </w:rPr>
              <w:fldChar w:fldCharType="separate"/>
            </w:r>
            <w:r w:rsidR="006E2DBC">
              <w:rPr>
                <w:noProof/>
                <w:webHidden/>
              </w:rPr>
              <w:t>6</w:t>
            </w:r>
            <w:r w:rsidR="006E2DBC">
              <w:rPr>
                <w:noProof/>
                <w:webHidden/>
              </w:rPr>
              <w:fldChar w:fldCharType="end"/>
            </w:r>
          </w:hyperlink>
        </w:p>
        <w:p w14:paraId="29A41BBA" w14:textId="3CDACCE1" w:rsidR="006E2DBC" w:rsidRDefault="00922B31">
          <w:pPr>
            <w:pStyle w:val="TOC2"/>
            <w:tabs>
              <w:tab w:val="right" w:leader="dot" w:pos="9350"/>
            </w:tabs>
            <w:rPr>
              <w:noProof/>
              <w:sz w:val="22"/>
              <w:szCs w:val="22"/>
            </w:rPr>
          </w:pPr>
          <w:hyperlink w:anchor="_Toc56580519" w:history="1">
            <w:r w:rsidR="006E2DBC" w:rsidRPr="00690E66">
              <w:rPr>
                <w:rStyle w:val="Hyperlink"/>
                <w:noProof/>
              </w:rPr>
              <w:t>A. Background</w:t>
            </w:r>
            <w:r w:rsidR="006E2DBC">
              <w:rPr>
                <w:noProof/>
                <w:webHidden/>
              </w:rPr>
              <w:tab/>
            </w:r>
            <w:r w:rsidR="006E2DBC">
              <w:rPr>
                <w:noProof/>
                <w:webHidden/>
              </w:rPr>
              <w:fldChar w:fldCharType="begin"/>
            </w:r>
            <w:r w:rsidR="006E2DBC">
              <w:rPr>
                <w:noProof/>
                <w:webHidden/>
              </w:rPr>
              <w:instrText xml:space="preserve"> PAGEREF _Toc56580519 \h </w:instrText>
            </w:r>
            <w:r w:rsidR="006E2DBC">
              <w:rPr>
                <w:noProof/>
                <w:webHidden/>
              </w:rPr>
            </w:r>
            <w:r w:rsidR="006E2DBC">
              <w:rPr>
                <w:noProof/>
                <w:webHidden/>
              </w:rPr>
              <w:fldChar w:fldCharType="separate"/>
            </w:r>
            <w:r w:rsidR="006E2DBC">
              <w:rPr>
                <w:noProof/>
                <w:webHidden/>
              </w:rPr>
              <w:t>6</w:t>
            </w:r>
            <w:r w:rsidR="006E2DBC">
              <w:rPr>
                <w:noProof/>
                <w:webHidden/>
              </w:rPr>
              <w:fldChar w:fldCharType="end"/>
            </w:r>
          </w:hyperlink>
        </w:p>
        <w:p w14:paraId="17C86C17" w14:textId="4AEFB4AD" w:rsidR="006E2DBC" w:rsidRDefault="00922B31">
          <w:pPr>
            <w:pStyle w:val="TOC2"/>
            <w:tabs>
              <w:tab w:val="right" w:leader="dot" w:pos="9350"/>
            </w:tabs>
            <w:rPr>
              <w:noProof/>
              <w:sz w:val="22"/>
              <w:szCs w:val="22"/>
            </w:rPr>
          </w:pPr>
          <w:hyperlink w:anchor="_Toc56580520" w:history="1">
            <w:r w:rsidR="006E2DBC" w:rsidRPr="00690E66">
              <w:rPr>
                <w:rStyle w:val="Hyperlink"/>
                <w:noProof/>
              </w:rPr>
              <w:t>B. Calculating Reimbursement</w:t>
            </w:r>
            <w:r w:rsidR="006E2DBC">
              <w:rPr>
                <w:noProof/>
                <w:webHidden/>
              </w:rPr>
              <w:tab/>
            </w:r>
            <w:r w:rsidR="006E2DBC">
              <w:rPr>
                <w:noProof/>
                <w:webHidden/>
              </w:rPr>
              <w:fldChar w:fldCharType="begin"/>
            </w:r>
            <w:r w:rsidR="006E2DBC">
              <w:rPr>
                <w:noProof/>
                <w:webHidden/>
              </w:rPr>
              <w:instrText xml:space="preserve"> PAGEREF _Toc56580520 \h </w:instrText>
            </w:r>
            <w:r w:rsidR="006E2DBC">
              <w:rPr>
                <w:noProof/>
                <w:webHidden/>
              </w:rPr>
            </w:r>
            <w:r w:rsidR="006E2DBC">
              <w:rPr>
                <w:noProof/>
                <w:webHidden/>
              </w:rPr>
              <w:fldChar w:fldCharType="separate"/>
            </w:r>
            <w:r w:rsidR="006E2DBC">
              <w:rPr>
                <w:noProof/>
                <w:webHidden/>
              </w:rPr>
              <w:t>8</w:t>
            </w:r>
            <w:r w:rsidR="006E2DBC">
              <w:rPr>
                <w:noProof/>
                <w:webHidden/>
              </w:rPr>
              <w:fldChar w:fldCharType="end"/>
            </w:r>
          </w:hyperlink>
        </w:p>
        <w:p w14:paraId="7EE766B3" w14:textId="29EF89F8" w:rsidR="006E2DBC" w:rsidRDefault="00922B31">
          <w:pPr>
            <w:pStyle w:val="TOC2"/>
            <w:tabs>
              <w:tab w:val="right" w:leader="dot" w:pos="9350"/>
            </w:tabs>
            <w:rPr>
              <w:noProof/>
              <w:sz w:val="22"/>
              <w:szCs w:val="22"/>
            </w:rPr>
          </w:pPr>
          <w:hyperlink w:anchor="_Toc56580521" w:history="1">
            <w:r w:rsidR="006E2DBC" w:rsidRPr="00690E66">
              <w:rPr>
                <w:rStyle w:val="Hyperlink"/>
                <w:noProof/>
              </w:rPr>
              <w:t>C. BWC Customizations to the Medicare IPPS Methodology for Rate Year 2021</w:t>
            </w:r>
            <w:r w:rsidR="006E2DBC">
              <w:rPr>
                <w:noProof/>
                <w:webHidden/>
              </w:rPr>
              <w:tab/>
            </w:r>
            <w:r w:rsidR="006E2DBC">
              <w:rPr>
                <w:noProof/>
                <w:webHidden/>
              </w:rPr>
              <w:fldChar w:fldCharType="begin"/>
            </w:r>
            <w:r w:rsidR="006E2DBC">
              <w:rPr>
                <w:noProof/>
                <w:webHidden/>
              </w:rPr>
              <w:instrText xml:space="preserve"> PAGEREF _Toc56580521 \h </w:instrText>
            </w:r>
            <w:r w:rsidR="006E2DBC">
              <w:rPr>
                <w:noProof/>
                <w:webHidden/>
              </w:rPr>
            </w:r>
            <w:r w:rsidR="006E2DBC">
              <w:rPr>
                <w:noProof/>
                <w:webHidden/>
              </w:rPr>
              <w:fldChar w:fldCharType="separate"/>
            </w:r>
            <w:r w:rsidR="006E2DBC">
              <w:rPr>
                <w:noProof/>
                <w:webHidden/>
              </w:rPr>
              <w:t>12</w:t>
            </w:r>
            <w:r w:rsidR="006E2DBC">
              <w:rPr>
                <w:noProof/>
                <w:webHidden/>
              </w:rPr>
              <w:fldChar w:fldCharType="end"/>
            </w:r>
          </w:hyperlink>
        </w:p>
        <w:p w14:paraId="0E5BD1A6" w14:textId="14192D79" w:rsidR="006E2DBC" w:rsidRDefault="00922B31">
          <w:pPr>
            <w:pStyle w:val="TOC1"/>
            <w:tabs>
              <w:tab w:val="right" w:leader="dot" w:pos="9350"/>
            </w:tabs>
            <w:rPr>
              <w:noProof/>
              <w:sz w:val="22"/>
              <w:szCs w:val="22"/>
            </w:rPr>
          </w:pPr>
          <w:hyperlink w:anchor="_Toc56580522" w:history="1">
            <w:r w:rsidR="006E2DBC" w:rsidRPr="00690E66">
              <w:rPr>
                <w:rStyle w:val="Hyperlink"/>
                <w:b/>
                <w:noProof/>
              </w:rPr>
              <w:t>Methodology 2: BWC Reimbursement for Medicare IPPS-Exempt Hospitals</w:t>
            </w:r>
            <w:r w:rsidR="006E2DBC">
              <w:rPr>
                <w:noProof/>
                <w:webHidden/>
              </w:rPr>
              <w:tab/>
            </w:r>
            <w:r w:rsidR="006E2DBC">
              <w:rPr>
                <w:noProof/>
                <w:webHidden/>
              </w:rPr>
              <w:fldChar w:fldCharType="begin"/>
            </w:r>
            <w:r w:rsidR="006E2DBC">
              <w:rPr>
                <w:noProof/>
                <w:webHidden/>
              </w:rPr>
              <w:instrText xml:space="preserve"> PAGEREF _Toc56580522 \h </w:instrText>
            </w:r>
            <w:r w:rsidR="006E2DBC">
              <w:rPr>
                <w:noProof/>
                <w:webHidden/>
              </w:rPr>
            </w:r>
            <w:r w:rsidR="006E2DBC">
              <w:rPr>
                <w:noProof/>
                <w:webHidden/>
              </w:rPr>
              <w:fldChar w:fldCharType="separate"/>
            </w:r>
            <w:r w:rsidR="006E2DBC">
              <w:rPr>
                <w:noProof/>
                <w:webHidden/>
              </w:rPr>
              <w:t>19</w:t>
            </w:r>
            <w:r w:rsidR="006E2DBC">
              <w:rPr>
                <w:noProof/>
                <w:webHidden/>
              </w:rPr>
              <w:fldChar w:fldCharType="end"/>
            </w:r>
          </w:hyperlink>
        </w:p>
        <w:p w14:paraId="73868114" w14:textId="166C5339" w:rsidR="006E2DBC" w:rsidRDefault="00922B31">
          <w:pPr>
            <w:pStyle w:val="TOC2"/>
            <w:tabs>
              <w:tab w:val="right" w:leader="dot" w:pos="9350"/>
            </w:tabs>
            <w:rPr>
              <w:noProof/>
              <w:sz w:val="22"/>
              <w:szCs w:val="22"/>
            </w:rPr>
          </w:pPr>
          <w:hyperlink w:anchor="_Toc56580523" w:history="1">
            <w:r w:rsidR="006E2DBC" w:rsidRPr="00690E66">
              <w:rPr>
                <w:rStyle w:val="Hyperlink"/>
                <w:noProof/>
              </w:rPr>
              <w:t>A. Background</w:t>
            </w:r>
            <w:r w:rsidR="006E2DBC">
              <w:rPr>
                <w:noProof/>
                <w:webHidden/>
              </w:rPr>
              <w:tab/>
            </w:r>
            <w:r w:rsidR="006E2DBC">
              <w:rPr>
                <w:noProof/>
                <w:webHidden/>
              </w:rPr>
              <w:fldChar w:fldCharType="begin"/>
            </w:r>
            <w:r w:rsidR="006E2DBC">
              <w:rPr>
                <w:noProof/>
                <w:webHidden/>
              </w:rPr>
              <w:instrText xml:space="preserve"> PAGEREF _Toc56580523 \h </w:instrText>
            </w:r>
            <w:r w:rsidR="006E2DBC">
              <w:rPr>
                <w:noProof/>
                <w:webHidden/>
              </w:rPr>
            </w:r>
            <w:r w:rsidR="006E2DBC">
              <w:rPr>
                <w:noProof/>
                <w:webHidden/>
              </w:rPr>
              <w:fldChar w:fldCharType="separate"/>
            </w:r>
            <w:r w:rsidR="006E2DBC">
              <w:rPr>
                <w:noProof/>
                <w:webHidden/>
              </w:rPr>
              <w:t>19</w:t>
            </w:r>
            <w:r w:rsidR="006E2DBC">
              <w:rPr>
                <w:noProof/>
                <w:webHidden/>
              </w:rPr>
              <w:fldChar w:fldCharType="end"/>
            </w:r>
          </w:hyperlink>
        </w:p>
        <w:p w14:paraId="0A12C9D0" w14:textId="4DA1D40E" w:rsidR="006E2DBC" w:rsidRDefault="00922B31">
          <w:pPr>
            <w:pStyle w:val="TOC2"/>
            <w:tabs>
              <w:tab w:val="right" w:leader="dot" w:pos="9350"/>
            </w:tabs>
            <w:rPr>
              <w:noProof/>
              <w:sz w:val="22"/>
              <w:szCs w:val="22"/>
            </w:rPr>
          </w:pPr>
          <w:hyperlink w:anchor="_Toc56580524" w:history="1">
            <w:r w:rsidR="006E2DBC" w:rsidRPr="00690E66">
              <w:rPr>
                <w:rStyle w:val="Hyperlink"/>
                <w:noProof/>
              </w:rPr>
              <w:t>B. Calculating Reimbursement</w:t>
            </w:r>
            <w:r w:rsidR="006E2DBC">
              <w:rPr>
                <w:noProof/>
                <w:webHidden/>
              </w:rPr>
              <w:tab/>
            </w:r>
            <w:r w:rsidR="006E2DBC">
              <w:rPr>
                <w:noProof/>
                <w:webHidden/>
              </w:rPr>
              <w:fldChar w:fldCharType="begin"/>
            </w:r>
            <w:r w:rsidR="006E2DBC">
              <w:rPr>
                <w:noProof/>
                <w:webHidden/>
              </w:rPr>
              <w:instrText xml:space="preserve"> PAGEREF _Toc56580524 \h </w:instrText>
            </w:r>
            <w:r w:rsidR="006E2DBC">
              <w:rPr>
                <w:noProof/>
                <w:webHidden/>
              </w:rPr>
            </w:r>
            <w:r w:rsidR="006E2DBC">
              <w:rPr>
                <w:noProof/>
                <w:webHidden/>
              </w:rPr>
              <w:fldChar w:fldCharType="separate"/>
            </w:r>
            <w:r w:rsidR="006E2DBC">
              <w:rPr>
                <w:noProof/>
                <w:webHidden/>
              </w:rPr>
              <w:t>19</w:t>
            </w:r>
            <w:r w:rsidR="006E2DBC">
              <w:rPr>
                <w:noProof/>
                <w:webHidden/>
              </w:rPr>
              <w:fldChar w:fldCharType="end"/>
            </w:r>
          </w:hyperlink>
        </w:p>
        <w:p w14:paraId="0DD4F99F" w14:textId="6AE3C3CC" w:rsidR="006E2DBC" w:rsidRDefault="00922B31">
          <w:pPr>
            <w:pStyle w:val="TOC1"/>
            <w:tabs>
              <w:tab w:val="right" w:leader="dot" w:pos="9350"/>
            </w:tabs>
            <w:rPr>
              <w:noProof/>
              <w:sz w:val="22"/>
              <w:szCs w:val="22"/>
            </w:rPr>
          </w:pPr>
          <w:hyperlink w:anchor="_Toc56580525" w:history="1">
            <w:r w:rsidR="006E2DBC" w:rsidRPr="00690E66">
              <w:rPr>
                <w:rStyle w:val="Hyperlink"/>
                <w:b/>
                <w:noProof/>
              </w:rPr>
              <w:t>Methodology 3: BWC Reimbursement for Hospitals Treating Addiction</w:t>
            </w:r>
            <w:r w:rsidR="006E2DBC">
              <w:rPr>
                <w:noProof/>
                <w:webHidden/>
              </w:rPr>
              <w:tab/>
            </w:r>
            <w:r w:rsidR="006E2DBC">
              <w:rPr>
                <w:noProof/>
                <w:webHidden/>
              </w:rPr>
              <w:fldChar w:fldCharType="begin"/>
            </w:r>
            <w:r w:rsidR="006E2DBC">
              <w:rPr>
                <w:noProof/>
                <w:webHidden/>
              </w:rPr>
              <w:instrText xml:space="preserve"> PAGEREF _Toc56580525 \h </w:instrText>
            </w:r>
            <w:r w:rsidR="006E2DBC">
              <w:rPr>
                <w:noProof/>
                <w:webHidden/>
              </w:rPr>
            </w:r>
            <w:r w:rsidR="006E2DBC">
              <w:rPr>
                <w:noProof/>
                <w:webHidden/>
              </w:rPr>
              <w:fldChar w:fldCharType="separate"/>
            </w:r>
            <w:r w:rsidR="006E2DBC">
              <w:rPr>
                <w:noProof/>
                <w:webHidden/>
              </w:rPr>
              <w:t>21</w:t>
            </w:r>
            <w:r w:rsidR="006E2DBC">
              <w:rPr>
                <w:noProof/>
                <w:webHidden/>
              </w:rPr>
              <w:fldChar w:fldCharType="end"/>
            </w:r>
          </w:hyperlink>
        </w:p>
        <w:p w14:paraId="3E79000F" w14:textId="40E334E8" w:rsidR="006E2DBC" w:rsidRDefault="00922B31">
          <w:pPr>
            <w:pStyle w:val="TOC2"/>
            <w:tabs>
              <w:tab w:val="right" w:leader="dot" w:pos="9350"/>
            </w:tabs>
            <w:rPr>
              <w:noProof/>
              <w:sz w:val="22"/>
              <w:szCs w:val="22"/>
            </w:rPr>
          </w:pPr>
          <w:hyperlink w:anchor="_Toc56580526" w:history="1">
            <w:r w:rsidR="006E2DBC" w:rsidRPr="00690E66">
              <w:rPr>
                <w:rStyle w:val="Hyperlink"/>
                <w:noProof/>
              </w:rPr>
              <w:t>A. Background</w:t>
            </w:r>
            <w:r w:rsidR="006E2DBC">
              <w:rPr>
                <w:noProof/>
                <w:webHidden/>
              </w:rPr>
              <w:tab/>
            </w:r>
            <w:r w:rsidR="006E2DBC">
              <w:rPr>
                <w:noProof/>
                <w:webHidden/>
              </w:rPr>
              <w:fldChar w:fldCharType="begin"/>
            </w:r>
            <w:r w:rsidR="006E2DBC">
              <w:rPr>
                <w:noProof/>
                <w:webHidden/>
              </w:rPr>
              <w:instrText xml:space="preserve"> PAGEREF _Toc56580526 \h </w:instrText>
            </w:r>
            <w:r w:rsidR="006E2DBC">
              <w:rPr>
                <w:noProof/>
                <w:webHidden/>
              </w:rPr>
            </w:r>
            <w:r w:rsidR="006E2DBC">
              <w:rPr>
                <w:noProof/>
                <w:webHidden/>
              </w:rPr>
              <w:fldChar w:fldCharType="separate"/>
            </w:r>
            <w:r w:rsidR="006E2DBC">
              <w:rPr>
                <w:noProof/>
                <w:webHidden/>
              </w:rPr>
              <w:t>21</w:t>
            </w:r>
            <w:r w:rsidR="006E2DBC">
              <w:rPr>
                <w:noProof/>
                <w:webHidden/>
              </w:rPr>
              <w:fldChar w:fldCharType="end"/>
            </w:r>
          </w:hyperlink>
        </w:p>
        <w:p w14:paraId="43041B3D" w14:textId="68E780E3" w:rsidR="006E2DBC" w:rsidRDefault="00922B31">
          <w:pPr>
            <w:pStyle w:val="TOC2"/>
            <w:tabs>
              <w:tab w:val="right" w:leader="dot" w:pos="9350"/>
            </w:tabs>
            <w:rPr>
              <w:noProof/>
              <w:sz w:val="22"/>
              <w:szCs w:val="22"/>
            </w:rPr>
          </w:pPr>
          <w:hyperlink w:anchor="_Toc56580527" w:history="1">
            <w:r w:rsidR="006E2DBC" w:rsidRPr="00690E66">
              <w:rPr>
                <w:rStyle w:val="Hyperlink"/>
                <w:noProof/>
              </w:rPr>
              <w:t>B. Calculating Reimbursement</w:t>
            </w:r>
            <w:r w:rsidR="006E2DBC">
              <w:rPr>
                <w:noProof/>
                <w:webHidden/>
              </w:rPr>
              <w:tab/>
            </w:r>
            <w:r w:rsidR="006E2DBC">
              <w:rPr>
                <w:noProof/>
                <w:webHidden/>
              </w:rPr>
              <w:fldChar w:fldCharType="begin"/>
            </w:r>
            <w:r w:rsidR="006E2DBC">
              <w:rPr>
                <w:noProof/>
                <w:webHidden/>
              </w:rPr>
              <w:instrText xml:space="preserve"> PAGEREF _Toc56580527 \h </w:instrText>
            </w:r>
            <w:r w:rsidR="006E2DBC">
              <w:rPr>
                <w:noProof/>
                <w:webHidden/>
              </w:rPr>
            </w:r>
            <w:r w:rsidR="006E2DBC">
              <w:rPr>
                <w:noProof/>
                <w:webHidden/>
              </w:rPr>
              <w:fldChar w:fldCharType="separate"/>
            </w:r>
            <w:r w:rsidR="006E2DBC">
              <w:rPr>
                <w:noProof/>
                <w:webHidden/>
              </w:rPr>
              <w:t>21</w:t>
            </w:r>
            <w:r w:rsidR="006E2DBC">
              <w:rPr>
                <w:noProof/>
                <w:webHidden/>
              </w:rPr>
              <w:fldChar w:fldCharType="end"/>
            </w:r>
          </w:hyperlink>
        </w:p>
        <w:p w14:paraId="0F95BA32" w14:textId="1D1F8ABA" w:rsidR="006E2DBC" w:rsidRDefault="00922B31">
          <w:pPr>
            <w:pStyle w:val="TOC1"/>
            <w:tabs>
              <w:tab w:val="right" w:leader="dot" w:pos="9350"/>
            </w:tabs>
            <w:rPr>
              <w:noProof/>
              <w:sz w:val="22"/>
              <w:szCs w:val="22"/>
            </w:rPr>
          </w:pPr>
          <w:hyperlink w:anchor="_Toc56580528" w:history="1">
            <w:r w:rsidR="006E2DBC" w:rsidRPr="00690E66">
              <w:rPr>
                <w:rStyle w:val="Hyperlink"/>
                <w:b/>
                <w:noProof/>
              </w:rPr>
              <w:t>Additional Resources</w:t>
            </w:r>
            <w:r w:rsidR="006E2DBC">
              <w:rPr>
                <w:noProof/>
                <w:webHidden/>
              </w:rPr>
              <w:tab/>
            </w:r>
            <w:r w:rsidR="006E2DBC">
              <w:rPr>
                <w:noProof/>
                <w:webHidden/>
              </w:rPr>
              <w:fldChar w:fldCharType="begin"/>
            </w:r>
            <w:r w:rsidR="006E2DBC">
              <w:rPr>
                <w:noProof/>
                <w:webHidden/>
              </w:rPr>
              <w:instrText xml:space="preserve"> PAGEREF _Toc56580528 \h </w:instrText>
            </w:r>
            <w:r w:rsidR="006E2DBC">
              <w:rPr>
                <w:noProof/>
                <w:webHidden/>
              </w:rPr>
            </w:r>
            <w:r w:rsidR="006E2DBC">
              <w:rPr>
                <w:noProof/>
                <w:webHidden/>
              </w:rPr>
              <w:fldChar w:fldCharType="separate"/>
            </w:r>
            <w:r w:rsidR="006E2DBC">
              <w:rPr>
                <w:noProof/>
                <w:webHidden/>
              </w:rPr>
              <w:t>23</w:t>
            </w:r>
            <w:r w:rsidR="006E2DBC">
              <w:rPr>
                <w:noProof/>
                <w:webHidden/>
              </w:rPr>
              <w:fldChar w:fldCharType="end"/>
            </w:r>
          </w:hyperlink>
        </w:p>
        <w:p w14:paraId="281634BD" w14:textId="59F36E67" w:rsidR="00E76981" w:rsidRDefault="00E76981">
          <w:r>
            <w:rPr>
              <w:b/>
              <w:bCs/>
              <w:noProof/>
            </w:rPr>
            <w:fldChar w:fldCharType="end"/>
          </w:r>
        </w:p>
      </w:sdtContent>
    </w:sdt>
    <w:p w14:paraId="76F1FEE3" w14:textId="77777777" w:rsidR="00C67FBD" w:rsidRDefault="00C67FBD" w:rsidP="00CE60DE">
      <w:pPr>
        <w:pStyle w:val="Heading1"/>
      </w:pPr>
    </w:p>
    <w:p w14:paraId="3CCC4E90" w14:textId="77777777" w:rsidR="00CE60DE" w:rsidRDefault="00CE60DE"/>
    <w:p w14:paraId="04EECD26" w14:textId="77777777" w:rsidR="00CE60DE" w:rsidRDefault="00CE60DE">
      <w:pPr>
        <w:spacing w:after="0" w:line="240" w:lineRule="auto"/>
      </w:pPr>
      <w:r>
        <w:br w:type="page"/>
      </w:r>
    </w:p>
    <w:p w14:paraId="5840CE52" w14:textId="77777777" w:rsidR="004737FD" w:rsidRPr="00D4120F" w:rsidRDefault="004737FD" w:rsidP="00A505C8">
      <w:pPr>
        <w:pStyle w:val="Heading1"/>
        <w:spacing w:before="0"/>
        <w:rPr>
          <w:b/>
        </w:rPr>
      </w:pPr>
      <w:bookmarkStart w:id="1" w:name="_Toc56580512"/>
      <w:r w:rsidRPr="00D4120F">
        <w:rPr>
          <w:b/>
        </w:rPr>
        <w:lastRenderedPageBreak/>
        <w:t>Introduction</w:t>
      </w:r>
      <w:bookmarkEnd w:id="1"/>
    </w:p>
    <w:p w14:paraId="4937FD60" w14:textId="77777777" w:rsidR="004737FD" w:rsidRDefault="004737FD" w:rsidP="004737FD"/>
    <w:p w14:paraId="040020B3" w14:textId="77777777" w:rsidR="004737FD" w:rsidRDefault="004737FD" w:rsidP="00FE4A5F">
      <w:pPr>
        <w:pStyle w:val="Default"/>
        <w:jc w:val="both"/>
      </w:pPr>
      <w:r w:rsidRPr="00127171">
        <w:t xml:space="preserve">Prompt, effective medical care makes a big difference for those injured on the job. It is often the key to a quicker recovery and timely return-to-work and quality of life for injured workers.  Thus, </w:t>
      </w:r>
      <w:r w:rsidR="001A0B47">
        <w:t>m</w:t>
      </w:r>
      <w:r w:rsidRPr="00127171">
        <w:t xml:space="preserve">aintaining a network of hospitals to provide appropriate care is an important element to ensure the best possible recoveries from workplace injuries. It also ensures access to quality, cost-effective service. Access for injured workers, and employers, means the availability of quality, cost-effective treatment provided on the basis of medical necessity. It facilitates faster recovery and a prompt, safe return to work. </w:t>
      </w:r>
    </w:p>
    <w:p w14:paraId="13F317D2" w14:textId="77777777" w:rsidR="003C132F" w:rsidRDefault="003C132F" w:rsidP="00FE4A5F">
      <w:pPr>
        <w:pStyle w:val="Default"/>
        <w:jc w:val="both"/>
      </w:pPr>
    </w:p>
    <w:p w14:paraId="6FE58DE1" w14:textId="77777777" w:rsidR="00922BC7" w:rsidRDefault="004737FD" w:rsidP="00FE4A5F">
      <w:pPr>
        <w:spacing w:after="0"/>
        <w:jc w:val="both"/>
        <w:rPr>
          <w:sz w:val="24"/>
          <w:szCs w:val="24"/>
        </w:rPr>
      </w:pPr>
      <w:r>
        <w:rPr>
          <w:sz w:val="24"/>
          <w:szCs w:val="24"/>
        </w:rPr>
        <w:t>Part of ensuring access to quality medical care requires t</w:t>
      </w:r>
      <w:r w:rsidRPr="004737FD">
        <w:rPr>
          <w:sz w:val="24"/>
          <w:szCs w:val="24"/>
        </w:rPr>
        <w:t xml:space="preserve">he Ohio Bureau of Workers’ Compensation (BWC) </w:t>
      </w:r>
      <w:r>
        <w:rPr>
          <w:sz w:val="24"/>
          <w:szCs w:val="24"/>
        </w:rPr>
        <w:t xml:space="preserve">to set fair reimbursement rates for </w:t>
      </w:r>
      <w:r w:rsidR="00936FF0">
        <w:rPr>
          <w:sz w:val="24"/>
          <w:szCs w:val="24"/>
        </w:rPr>
        <w:t>inpatient</w:t>
      </w:r>
      <w:r>
        <w:rPr>
          <w:sz w:val="24"/>
          <w:szCs w:val="24"/>
        </w:rPr>
        <w:t xml:space="preserve"> services provided to injured workers. </w:t>
      </w:r>
      <w:r w:rsidR="00936FF0">
        <w:rPr>
          <w:sz w:val="24"/>
          <w:szCs w:val="24"/>
        </w:rPr>
        <w:t>Inpatient r</w:t>
      </w:r>
      <w:r>
        <w:rPr>
          <w:sz w:val="24"/>
          <w:szCs w:val="24"/>
        </w:rPr>
        <w:t>eimbursement rates</w:t>
      </w:r>
      <w:r w:rsidR="003C132F">
        <w:rPr>
          <w:sz w:val="24"/>
          <w:szCs w:val="24"/>
        </w:rPr>
        <w:t xml:space="preserve"> for BWC </w:t>
      </w:r>
      <w:r>
        <w:rPr>
          <w:sz w:val="24"/>
          <w:szCs w:val="24"/>
        </w:rPr>
        <w:t xml:space="preserve">are established via Ohio Administrative Code </w:t>
      </w:r>
      <w:r w:rsidR="0079141E">
        <w:rPr>
          <w:sz w:val="24"/>
          <w:szCs w:val="24"/>
        </w:rPr>
        <w:t xml:space="preserve">(OAC) </w:t>
      </w:r>
      <w:r>
        <w:rPr>
          <w:sz w:val="24"/>
          <w:szCs w:val="24"/>
        </w:rPr>
        <w:t xml:space="preserve">rulemaking process. </w:t>
      </w:r>
      <w:r w:rsidR="00936FF0">
        <w:rPr>
          <w:sz w:val="24"/>
          <w:szCs w:val="24"/>
        </w:rPr>
        <w:t xml:space="preserve"> </w:t>
      </w:r>
      <w:r w:rsidR="00922BC7">
        <w:rPr>
          <w:sz w:val="24"/>
          <w:szCs w:val="24"/>
        </w:rPr>
        <w:t xml:space="preserve">Specifically, BWC’s hospital inpatient reimbursement methodology is detailed in. </w:t>
      </w:r>
      <w:hyperlink r:id="rId12" w:history="1">
        <w:r w:rsidR="00922BC7">
          <w:rPr>
            <w:rStyle w:val="Hyperlink"/>
            <w:sz w:val="24"/>
            <w:szCs w:val="24"/>
          </w:rPr>
          <w:t>OAC 4123-6-37.1</w:t>
        </w:r>
      </w:hyperlink>
      <w:r w:rsidR="00922BC7">
        <w:rPr>
          <w:sz w:val="24"/>
          <w:szCs w:val="24"/>
        </w:rPr>
        <w:t>. The rule describes the three methods BWC utilizes to reimburse hospitals for inpatient services</w:t>
      </w:r>
      <w:r w:rsidR="00936FF0">
        <w:rPr>
          <w:sz w:val="24"/>
          <w:szCs w:val="24"/>
        </w:rPr>
        <w:t xml:space="preserve"> provided to injured workers covered under the state fund. The rule also details reimbursement option</w:t>
      </w:r>
      <w:r w:rsidR="008F2B10">
        <w:rPr>
          <w:sz w:val="24"/>
          <w:szCs w:val="24"/>
        </w:rPr>
        <w:t>s</w:t>
      </w:r>
      <w:r w:rsidR="00936FF0">
        <w:rPr>
          <w:sz w:val="24"/>
          <w:szCs w:val="24"/>
        </w:rPr>
        <w:t xml:space="preserve"> for self-insuring providers.</w:t>
      </w:r>
    </w:p>
    <w:p w14:paraId="5480F297" w14:textId="77777777" w:rsidR="001464D3" w:rsidRDefault="001464D3" w:rsidP="00FE4A5F">
      <w:pPr>
        <w:spacing w:after="0"/>
        <w:jc w:val="both"/>
        <w:rPr>
          <w:sz w:val="24"/>
          <w:szCs w:val="24"/>
        </w:rPr>
      </w:pPr>
    </w:p>
    <w:p w14:paraId="71E75C73" w14:textId="28FC54C1" w:rsidR="00306087" w:rsidRPr="00D67E2A" w:rsidRDefault="001464D3" w:rsidP="00FE4A5F">
      <w:pPr>
        <w:spacing w:after="0"/>
        <w:jc w:val="both"/>
        <w:rPr>
          <w:sz w:val="24"/>
          <w:szCs w:val="24"/>
        </w:rPr>
      </w:pPr>
      <w:r>
        <w:rPr>
          <w:sz w:val="24"/>
          <w:szCs w:val="24"/>
        </w:rPr>
        <w:t>T</w:t>
      </w:r>
      <w:r w:rsidR="00236B7A">
        <w:rPr>
          <w:sz w:val="24"/>
          <w:szCs w:val="24"/>
        </w:rPr>
        <w:t xml:space="preserve">his document </w:t>
      </w:r>
      <w:r>
        <w:rPr>
          <w:sz w:val="24"/>
          <w:szCs w:val="24"/>
        </w:rPr>
        <w:t>was developed</w:t>
      </w:r>
      <w:r w:rsidR="00236B7A">
        <w:rPr>
          <w:sz w:val="24"/>
          <w:szCs w:val="24"/>
        </w:rPr>
        <w:t xml:space="preserve"> to help BWC customers to understand</w:t>
      </w:r>
      <w:r w:rsidR="00922BC7">
        <w:rPr>
          <w:sz w:val="24"/>
          <w:szCs w:val="24"/>
        </w:rPr>
        <w:t xml:space="preserve"> the background of BWC’s hospital inpatient reimbursement methodolog</w:t>
      </w:r>
      <w:r>
        <w:rPr>
          <w:sz w:val="24"/>
          <w:szCs w:val="24"/>
        </w:rPr>
        <w:t>ies</w:t>
      </w:r>
      <w:r w:rsidR="00922BC7">
        <w:rPr>
          <w:sz w:val="24"/>
          <w:szCs w:val="24"/>
        </w:rPr>
        <w:t xml:space="preserve"> and </w:t>
      </w:r>
      <w:r w:rsidR="00236B7A">
        <w:rPr>
          <w:sz w:val="24"/>
          <w:szCs w:val="24"/>
        </w:rPr>
        <w:t xml:space="preserve">to </w:t>
      </w:r>
      <w:r w:rsidR="00306087">
        <w:rPr>
          <w:sz w:val="24"/>
          <w:szCs w:val="24"/>
        </w:rPr>
        <w:t>understand how BWC utilizes</w:t>
      </w:r>
      <w:r w:rsidR="00236B7A">
        <w:rPr>
          <w:sz w:val="24"/>
          <w:szCs w:val="24"/>
        </w:rPr>
        <w:t xml:space="preserve"> </w:t>
      </w:r>
      <w:r w:rsidR="00306087">
        <w:rPr>
          <w:sz w:val="24"/>
          <w:szCs w:val="24"/>
        </w:rPr>
        <w:t xml:space="preserve">Medicare’s data and reimbursement methodologies as a basis for </w:t>
      </w:r>
      <w:r w:rsidR="00792E7B">
        <w:rPr>
          <w:sz w:val="24"/>
          <w:szCs w:val="24"/>
        </w:rPr>
        <w:t xml:space="preserve">the majority of our </w:t>
      </w:r>
      <w:r w:rsidR="00306087">
        <w:rPr>
          <w:sz w:val="24"/>
          <w:szCs w:val="24"/>
        </w:rPr>
        <w:t xml:space="preserve">hospital </w:t>
      </w:r>
      <w:r w:rsidR="00792E7B">
        <w:rPr>
          <w:sz w:val="24"/>
          <w:szCs w:val="24"/>
        </w:rPr>
        <w:t>inpatient bills</w:t>
      </w:r>
      <w:r w:rsidR="00306087">
        <w:rPr>
          <w:sz w:val="24"/>
          <w:szCs w:val="24"/>
        </w:rPr>
        <w:t>. Additionally, this document d</w:t>
      </w:r>
      <w:r w:rsidR="00306087" w:rsidRPr="00CE60DE">
        <w:rPr>
          <w:rFonts w:cstheme="minorHAnsi"/>
          <w:sz w:val="24"/>
          <w:szCs w:val="24"/>
        </w:rPr>
        <w:t xml:space="preserve">etail </w:t>
      </w:r>
      <w:r w:rsidR="00306087">
        <w:rPr>
          <w:rFonts w:cstheme="minorHAnsi"/>
          <w:sz w:val="24"/>
          <w:szCs w:val="24"/>
        </w:rPr>
        <w:t xml:space="preserve">specific </w:t>
      </w:r>
      <w:r w:rsidR="00306087" w:rsidRPr="00CE60DE">
        <w:rPr>
          <w:rFonts w:cstheme="minorHAnsi"/>
          <w:sz w:val="24"/>
          <w:szCs w:val="24"/>
        </w:rPr>
        <w:t>changes adopted by BW</w:t>
      </w:r>
      <w:r w:rsidR="006E2DBC">
        <w:rPr>
          <w:rFonts w:cstheme="minorHAnsi"/>
          <w:sz w:val="24"/>
          <w:szCs w:val="24"/>
        </w:rPr>
        <w:t xml:space="preserve">C for the </w:t>
      </w:r>
      <w:r w:rsidR="00306087">
        <w:rPr>
          <w:rFonts w:cstheme="minorHAnsi"/>
          <w:sz w:val="24"/>
          <w:szCs w:val="24"/>
        </w:rPr>
        <w:t xml:space="preserve">hospital </w:t>
      </w:r>
      <w:r w:rsidR="00306087" w:rsidRPr="00CE60DE">
        <w:rPr>
          <w:rFonts w:cstheme="minorHAnsi"/>
          <w:sz w:val="24"/>
          <w:szCs w:val="24"/>
        </w:rPr>
        <w:t xml:space="preserve">inpatient reimbursement methodology, as published </w:t>
      </w:r>
      <w:r w:rsidR="006E2DBC">
        <w:rPr>
          <w:rFonts w:cstheme="minorHAnsi"/>
          <w:sz w:val="24"/>
          <w:szCs w:val="24"/>
        </w:rPr>
        <w:t xml:space="preserve">yearly </w:t>
      </w:r>
      <w:r w:rsidR="00306087" w:rsidRPr="00CE60DE">
        <w:rPr>
          <w:rFonts w:cstheme="minorHAnsi"/>
          <w:sz w:val="24"/>
          <w:szCs w:val="24"/>
        </w:rPr>
        <w:t xml:space="preserve">in </w:t>
      </w:r>
      <w:r w:rsidR="009C7F6E">
        <w:rPr>
          <w:rFonts w:cstheme="minorHAnsi"/>
          <w:sz w:val="24"/>
          <w:szCs w:val="24"/>
        </w:rPr>
        <w:t>rule</w:t>
      </w:r>
      <w:r w:rsidR="00306087" w:rsidRPr="00CE60DE">
        <w:rPr>
          <w:rFonts w:cstheme="minorHAnsi"/>
          <w:sz w:val="24"/>
          <w:szCs w:val="24"/>
        </w:rPr>
        <w:t>.</w:t>
      </w:r>
      <w:r w:rsidR="00306087">
        <w:rPr>
          <w:rFonts w:cstheme="minorHAnsi"/>
          <w:sz w:val="24"/>
          <w:szCs w:val="24"/>
        </w:rPr>
        <w:t xml:space="preserve"> </w:t>
      </w:r>
      <w:r>
        <w:rPr>
          <w:rFonts w:cstheme="minorHAnsi"/>
          <w:sz w:val="24"/>
          <w:szCs w:val="24"/>
        </w:rPr>
        <w:t xml:space="preserve"> </w:t>
      </w:r>
      <w:r w:rsidR="00306087" w:rsidRPr="00D67E2A">
        <w:rPr>
          <w:rFonts w:cstheme="minorHAnsi"/>
          <w:sz w:val="24"/>
          <w:szCs w:val="24"/>
        </w:rPr>
        <w:t xml:space="preserve">BWC’s </w:t>
      </w:r>
      <w:r w:rsidR="00134C45">
        <w:rPr>
          <w:rFonts w:cstheme="minorHAnsi"/>
          <w:sz w:val="24"/>
          <w:szCs w:val="24"/>
        </w:rPr>
        <w:t xml:space="preserve">inpatient reimbursement rule </w:t>
      </w:r>
      <w:r w:rsidR="00306087" w:rsidRPr="00D67E2A">
        <w:rPr>
          <w:rFonts w:cstheme="minorHAnsi"/>
          <w:sz w:val="24"/>
          <w:szCs w:val="24"/>
        </w:rPr>
        <w:t xml:space="preserve">rate year is effective for inpatient discharge dates </w:t>
      </w:r>
      <w:r w:rsidR="00134C45">
        <w:rPr>
          <w:rFonts w:cstheme="minorHAnsi"/>
          <w:sz w:val="24"/>
          <w:szCs w:val="24"/>
        </w:rPr>
        <w:t>beginning</w:t>
      </w:r>
      <w:r w:rsidR="00306087" w:rsidRPr="00D67E2A">
        <w:rPr>
          <w:rFonts w:cstheme="minorHAnsi"/>
          <w:sz w:val="24"/>
          <w:szCs w:val="24"/>
        </w:rPr>
        <w:t xml:space="preserve"> </w:t>
      </w:r>
      <w:r w:rsidR="00134C45">
        <w:rPr>
          <w:rFonts w:cstheme="minorHAnsi"/>
          <w:sz w:val="24"/>
          <w:szCs w:val="24"/>
        </w:rPr>
        <w:t xml:space="preserve">February 1 each year </w:t>
      </w:r>
      <w:r w:rsidR="00306087" w:rsidRPr="00D67E2A">
        <w:rPr>
          <w:rFonts w:cstheme="minorHAnsi"/>
          <w:sz w:val="24"/>
          <w:szCs w:val="24"/>
        </w:rPr>
        <w:t xml:space="preserve">and </w:t>
      </w:r>
      <w:r w:rsidR="00134C45">
        <w:rPr>
          <w:rFonts w:cstheme="minorHAnsi"/>
          <w:sz w:val="24"/>
          <w:szCs w:val="24"/>
        </w:rPr>
        <w:t>ending January 31 of the following year.</w:t>
      </w:r>
    </w:p>
    <w:p w14:paraId="53D2A090" w14:textId="77777777" w:rsidR="00236B7A" w:rsidRDefault="00236B7A" w:rsidP="00FE4A5F">
      <w:pPr>
        <w:spacing w:after="0"/>
        <w:jc w:val="both"/>
        <w:rPr>
          <w:sz w:val="24"/>
          <w:szCs w:val="24"/>
        </w:rPr>
      </w:pPr>
    </w:p>
    <w:p w14:paraId="526686A8" w14:textId="77777777" w:rsidR="0083089A" w:rsidRDefault="0083089A">
      <w:pPr>
        <w:rPr>
          <w:rFonts w:asciiTheme="majorHAnsi" w:eastAsiaTheme="majorEastAsia" w:hAnsiTheme="majorHAnsi" w:cstheme="majorBidi"/>
          <w:color w:val="2F5496" w:themeColor="accent1" w:themeShade="BF"/>
          <w:sz w:val="32"/>
          <w:szCs w:val="32"/>
        </w:rPr>
      </w:pPr>
      <w:r>
        <w:br w:type="page"/>
      </w:r>
    </w:p>
    <w:p w14:paraId="4248CCC6" w14:textId="77777777" w:rsidR="003C132F" w:rsidRPr="00D4120F" w:rsidRDefault="00C5267E" w:rsidP="009C7113">
      <w:pPr>
        <w:pStyle w:val="Heading1"/>
        <w:rPr>
          <w:b/>
        </w:rPr>
      </w:pPr>
      <w:bookmarkStart w:id="2" w:name="_Toc56580513"/>
      <w:r w:rsidRPr="00D4120F">
        <w:rPr>
          <w:b/>
        </w:rPr>
        <w:lastRenderedPageBreak/>
        <w:t>Overview of Inpatient Reimbursement Methodologies</w:t>
      </w:r>
      <w:bookmarkEnd w:id="2"/>
      <w:r w:rsidR="0079141E" w:rsidRPr="00D4120F">
        <w:rPr>
          <w:b/>
        </w:rPr>
        <w:t xml:space="preserve"> </w:t>
      </w:r>
    </w:p>
    <w:p w14:paraId="7DE4976D" w14:textId="77777777" w:rsidR="00236B7A" w:rsidRDefault="00236B7A" w:rsidP="00236B7A">
      <w:pPr>
        <w:spacing w:after="0"/>
        <w:jc w:val="both"/>
      </w:pPr>
    </w:p>
    <w:p w14:paraId="45922616" w14:textId="77777777" w:rsidR="00C5267E" w:rsidRPr="00D4120F" w:rsidRDefault="00D4120F" w:rsidP="00D4120F">
      <w:pPr>
        <w:pStyle w:val="Heading2"/>
      </w:pPr>
      <w:bookmarkStart w:id="3" w:name="_Toc56580514"/>
      <w:r w:rsidRPr="00D4120F">
        <w:t>A.</w:t>
      </w:r>
      <w:r>
        <w:t xml:space="preserve"> </w:t>
      </w:r>
      <w:r w:rsidR="00C5267E" w:rsidRPr="00D4120F">
        <w:t>Definition of Inpatient Services</w:t>
      </w:r>
      <w:bookmarkEnd w:id="3"/>
    </w:p>
    <w:p w14:paraId="12CBECA4" w14:textId="74A29252" w:rsidR="00560C88" w:rsidRDefault="00560C88" w:rsidP="00560C88">
      <w:pPr>
        <w:spacing w:after="0"/>
        <w:jc w:val="both"/>
        <w:rPr>
          <w:b/>
          <w:bCs/>
          <w:sz w:val="24"/>
          <w:szCs w:val="24"/>
        </w:rPr>
      </w:pPr>
      <w:r w:rsidRPr="00560C88">
        <w:rPr>
          <w:sz w:val="24"/>
          <w:szCs w:val="24"/>
        </w:rPr>
        <w:t>An injured worker is considered to be an inpatient when the physician issues a formal order for admission to the hospital</w:t>
      </w:r>
      <w:r w:rsidR="00A03D5C">
        <w:rPr>
          <w:sz w:val="24"/>
          <w:szCs w:val="24"/>
        </w:rPr>
        <w:t xml:space="preserve"> as </w:t>
      </w:r>
      <w:r w:rsidR="00520DB2">
        <w:rPr>
          <w:sz w:val="24"/>
          <w:szCs w:val="24"/>
        </w:rPr>
        <w:t>detailed</w:t>
      </w:r>
      <w:r w:rsidR="00A03D5C">
        <w:rPr>
          <w:sz w:val="24"/>
          <w:szCs w:val="24"/>
        </w:rPr>
        <w:t xml:space="preserve"> in </w:t>
      </w:r>
      <w:hyperlink r:id="rId13" w:history="1">
        <w:r w:rsidR="00A03D5C">
          <w:rPr>
            <w:rStyle w:val="Hyperlink"/>
            <w:sz w:val="24"/>
            <w:szCs w:val="24"/>
          </w:rPr>
          <w:t>OAC 4123-6-01</w:t>
        </w:r>
      </w:hyperlink>
      <w:r w:rsidRPr="00560C88">
        <w:rPr>
          <w:sz w:val="24"/>
          <w:szCs w:val="24"/>
        </w:rPr>
        <w:t xml:space="preserve">. </w:t>
      </w:r>
      <w:r w:rsidR="00616D7F" w:rsidRPr="00616D7F">
        <w:rPr>
          <w:b/>
          <w:bCs/>
          <w:i/>
          <w:iCs/>
          <w:sz w:val="24"/>
          <w:szCs w:val="24"/>
        </w:rPr>
        <w:t>It should be noted that BWC’s definition of inpatient services differs from Medicare.</w:t>
      </w:r>
      <w:r w:rsidR="00616D7F">
        <w:rPr>
          <w:b/>
          <w:bCs/>
          <w:sz w:val="24"/>
          <w:szCs w:val="24"/>
        </w:rPr>
        <w:t xml:space="preserve"> </w:t>
      </w:r>
      <w:r w:rsidRPr="00560C88">
        <w:rPr>
          <w:sz w:val="24"/>
          <w:szCs w:val="24"/>
        </w:rPr>
        <w:t>This level of care is typically required for the most severely injured and ill workers, as they require more intensive procedures and care levels. Injured workers may be admitted to a hospital on an emergency basis, such as for injuries requiring immediate surgical intervention or to treat severe infections. Additionally, inpatient care may be required for some non-emergent care, such as invasive surgical procedures like spinal fusions and certain joint replacements.</w:t>
      </w:r>
      <w:r w:rsidR="00981BC0">
        <w:rPr>
          <w:sz w:val="24"/>
          <w:szCs w:val="24"/>
        </w:rPr>
        <w:t xml:space="preserve"> </w:t>
      </w:r>
    </w:p>
    <w:p w14:paraId="0EBD0620" w14:textId="04A0BFD6" w:rsidR="00616D7F" w:rsidRDefault="00616D7F" w:rsidP="00560C88">
      <w:pPr>
        <w:spacing w:after="0"/>
        <w:jc w:val="both"/>
        <w:rPr>
          <w:b/>
          <w:bCs/>
          <w:sz w:val="24"/>
          <w:szCs w:val="24"/>
        </w:rPr>
      </w:pPr>
    </w:p>
    <w:p w14:paraId="657E8A9B" w14:textId="77777777" w:rsidR="00D67E2A" w:rsidRPr="00C5267E" w:rsidRDefault="00D4120F" w:rsidP="00D4120F">
      <w:pPr>
        <w:pStyle w:val="Heading2"/>
      </w:pPr>
      <w:bookmarkStart w:id="4" w:name="_Toc56580515"/>
      <w:r>
        <w:t xml:space="preserve">B. </w:t>
      </w:r>
      <w:r w:rsidR="00C5267E" w:rsidRPr="00C5267E">
        <w:t>BWC Hospital Types</w:t>
      </w:r>
      <w:bookmarkEnd w:id="4"/>
    </w:p>
    <w:p w14:paraId="4298534B" w14:textId="77777777" w:rsidR="00560C88" w:rsidRDefault="00922B31" w:rsidP="00D67E2A">
      <w:pPr>
        <w:spacing w:after="0"/>
        <w:jc w:val="both"/>
        <w:rPr>
          <w:sz w:val="24"/>
          <w:szCs w:val="24"/>
        </w:rPr>
      </w:pPr>
      <w:hyperlink r:id="rId14" w:history="1">
        <w:r w:rsidR="00560C88">
          <w:rPr>
            <w:rStyle w:val="Hyperlink"/>
            <w:sz w:val="24"/>
            <w:szCs w:val="24"/>
          </w:rPr>
          <w:t>OAC 4123-6-01</w:t>
        </w:r>
      </w:hyperlink>
      <w:r w:rsidR="00560C88">
        <w:rPr>
          <w:sz w:val="24"/>
          <w:szCs w:val="24"/>
        </w:rPr>
        <w:t xml:space="preserve"> defines hospitals as an institution that provides facilities for surgical and medical diagnosis and treatment of bed patients under the supervision of staff physicians and furnishes twenty-four hour-a-day care by registered nurses.</w:t>
      </w:r>
      <w:r w:rsidR="00A03D5C">
        <w:rPr>
          <w:sz w:val="24"/>
          <w:szCs w:val="24"/>
        </w:rPr>
        <w:t xml:space="preserve"> BWC’s e</w:t>
      </w:r>
      <w:r w:rsidR="00560C88">
        <w:rPr>
          <w:sz w:val="24"/>
          <w:szCs w:val="24"/>
        </w:rPr>
        <w:t xml:space="preserve">nrollment and certification requirements for hospitals are defined in </w:t>
      </w:r>
      <w:hyperlink r:id="rId15" w:history="1">
        <w:r w:rsidR="00560C88">
          <w:rPr>
            <w:rStyle w:val="Hyperlink"/>
            <w:sz w:val="24"/>
            <w:szCs w:val="24"/>
          </w:rPr>
          <w:t>OAC 4123-6-02.2</w:t>
        </w:r>
      </w:hyperlink>
      <w:r w:rsidR="00560C88">
        <w:rPr>
          <w:sz w:val="24"/>
          <w:szCs w:val="24"/>
        </w:rPr>
        <w:t xml:space="preserve">.  BWC enrolls eligible hospitals under four different hospital </w:t>
      </w:r>
      <w:r w:rsidR="00A03D5C">
        <w:rPr>
          <w:sz w:val="24"/>
          <w:szCs w:val="24"/>
        </w:rPr>
        <w:t xml:space="preserve">provider </w:t>
      </w:r>
      <w:r w:rsidR="00560C88">
        <w:rPr>
          <w:sz w:val="24"/>
          <w:szCs w:val="24"/>
        </w:rPr>
        <w:t>types:</w:t>
      </w:r>
    </w:p>
    <w:p w14:paraId="68C04F2B" w14:textId="77777777" w:rsidR="00560C88" w:rsidRDefault="00560C88" w:rsidP="00A11040">
      <w:pPr>
        <w:pStyle w:val="ListParagraph"/>
        <w:numPr>
          <w:ilvl w:val="0"/>
          <w:numId w:val="4"/>
        </w:numPr>
        <w:spacing w:after="0"/>
        <w:jc w:val="both"/>
        <w:rPr>
          <w:sz w:val="24"/>
          <w:szCs w:val="24"/>
        </w:rPr>
      </w:pPr>
      <w:r>
        <w:rPr>
          <w:sz w:val="24"/>
          <w:szCs w:val="24"/>
        </w:rPr>
        <w:t>Acute care</w:t>
      </w:r>
      <w:r w:rsidR="00F9119D">
        <w:rPr>
          <w:sz w:val="24"/>
          <w:szCs w:val="24"/>
        </w:rPr>
        <w:t xml:space="preserve"> hospital</w:t>
      </w:r>
      <w:r>
        <w:rPr>
          <w:sz w:val="24"/>
          <w:szCs w:val="24"/>
        </w:rPr>
        <w:t xml:space="preserve"> – provider type 34</w:t>
      </w:r>
    </w:p>
    <w:p w14:paraId="34AA062E" w14:textId="77777777" w:rsidR="00560C88" w:rsidRDefault="00560C88" w:rsidP="00A11040">
      <w:pPr>
        <w:pStyle w:val="ListParagraph"/>
        <w:numPr>
          <w:ilvl w:val="0"/>
          <w:numId w:val="4"/>
        </w:numPr>
        <w:spacing w:after="0"/>
        <w:jc w:val="both"/>
        <w:rPr>
          <w:sz w:val="24"/>
          <w:szCs w:val="24"/>
        </w:rPr>
      </w:pPr>
      <w:r>
        <w:rPr>
          <w:sz w:val="24"/>
          <w:szCs w:val="24"/>
        </w:rPr>
        <w:t>Drug detoxification per diem</w:t>
      </w:r>
      <w:r w:rsidR="00F9119D">
        <w:rPr>
          <w:sz w:val="24"/>
          <w:szCs w:val="24"/>
        </w:rPr>
        <w:t xml:space="preserve"> hospital</w:t>
      </w:r>
      <w:r>
        <w:rPr>
          <w:sz w:val="24"/>
          <w:szCs w:val="24"/>
        </w:rPr>
        <w:t xml:space="preserve"> – provider type 35</w:t>
      </w:r>
    </w:p>
    <w:p w14:paraId="79BBD937" w14:textId="77777777" w:rsidR="00560C88" w:rsidRDefault="00560C88" w:rsidP="00A11040">
      <w:pPr>
        <w:pStyle w:val="ListParagraph"/>
        <w:numPr>
          <w:ilvl w:val="0"/>
          <w:numId w:val="4"/>
        </w:numPr>
        <w:spacing w:after="0"/>
        <w:jc w:val="both"/>
        <w:rPr>
          <w:sz w:val="24"/>
          <w:szCs w:val="24"/>
        </w:rPr>
      </w:pPr>
      <w:r>
        <w:rPr>
          <w:sz w:val="24"/>
          <w:szCs w:val="24"/>
        </w:rPr>
        <w:t xml:space="preserve">Psychiatric </w:t>
      </w:r>
      <w:r w:rsidR="00F9119D">
        <w:rPr>
          <w:sz w:val="24"/>
          <w:szCs w:val="24"/>
        </w:rPr>
        <w:t xml:space="preserve">hospital </w:t>
      </w:r>
      <w:r>
        <w:rPr>
          <w:sz w:val="24"/>
          <w:szCs w:val="24"/>
        </w:rPr>
        <w:t>– provider type 36</w:t>
      </w:r>
    </w:p>
    <w:p w14:paraId="36891043" w14:textId="77777777" w:rsidR="00560C88" w:rsidRDefault="00560C88" w:rsidP="00A11040">
      <w:pPr>
        <w:pStyle w:val="ListParagraph"/>
        <w:numPr>
          <w:ilvl w:val="0"/>
          <w:numId w:val="4"/>
        </w:numPr>
        <w:spacing w:after="0"/>
        <w:jc w:val="both"/>
        <w:rPr>
          <w:sz w:val="24"/>
          <w:szCs w:val="24"/>
        </w:rPr>
      </w:pPr>
      <w:r>
        <w:rPr>
          <w:sz w:val="24"/>
          <w:szCs w:val="24"/>
        </w:rPr>
        <w:t xml:space="preserve">Rehabilitation </w:t>
      </w:r>
      <w:r w:rsidR="00F9119D">
        <w:rPr>
          <w:sz w:val="24"/>
          <w:szCs w:val="24"/>
        </w:rPr>
        <w:t xml:space="preserve">hospital </w:t>
      </w:r>
      <w:r>
        <w:rPr>
          <w:sz w:val="24"/>
          <w:szCs w:val="24"/>
        </w:rPr>
        <w:t>– provider type 37</w:t>
      </w:r>
    </w:p>
    <w:p w14:paraId="4341A8CA" w14:textId="77777777" w:rsidR="00A03D5C" w:rsidRDefault="00A03D5C" w:rsidP="00792E7B">
      <w:pPr>
        <w:spacing w:after="0"/>
        <w:jc w:val="both"/>
        <w:rPr>
          <w:sz w:val="24"/>
          <w:szCs w:val="24"/>
        </w:rPr>
      </w:pPr>
    </w:p>
    <w:p w14:paraId="48F52E0A" w14:textId="77777777" w:rsidR="00473993" w:rsidRDefault="00A03D5C" w:rsidP="00792E7B">
      <w:pPr>
        <w:spacing w:after="0"/>
        <w:rPr>
          <w:sz w:val="24"/>
          <w:szCs w:val="24"/>
        </w:rPr>
      </w:pPr>
      <w:r>
        <w:rPr>
          <w:sz w:val="24"/>
          <w:szCs w:val="24"/>
        </w:rPr>
        <w:t xml:space="preserve">A single hospital may be enrolled with BWC under more than one provider type if they have separate and distinct units that qualify for separate enrollment. For example, an acute care hospital (provider type 34) may also have a separate and distinct psychiatric unit that would be separately enrolled a psychiatric hospital (provider type 36). </w:t>
      </w:r>
    </w:p>
    <w:p w14:paraId="00F41B9D" w14:textId="77777777" w:rsidR="00473993" w:rsidRDefault="00473993" w:rsidP="00792E7B">
      <w:pPr>
        <w:spacing w:after="0"/>
        <w:rPr>
          <w:sz w:val="24"/>
          <w:szCs w:val="24"/>
        </w:rPr>
      </w:pPr>
    </w:p>
    <w:p w14:paraId="2FD411AE" w14:textId="24819AE4" w:rsidR="00091672" w:rsidRDefault="00A03D5C" w:rsidP="00792E7B">
      <w:pPr>
        <w:spacing w:after="0"/>
        <w:rPr>
          <w:sz w:val="24"/>
          <w:szCs w:val="24"/>
        </w:rPr>
      </w:pPr>
      <w:r>
        <w:rPr>
          <w:sz w:val="24"/>
          <w:szCs w:val="24"/>
        </w:rPr>
        <w:t xml:space="preserve">It is important to note </w:t>
      </w:r>
      <w:r w:rsidR="00792E7B">
        <w:rPr>
          <w:sz w:val="24"/>
          <w:szCs w:val="24"/>
        </w:rPr>
        <w:t>that</w:t>
      </w:r>
      <w:r>
        <w:rPr>
          <w:sz w:val="24"/>
          <w:szCs w:val="24"/>
        </w:rPr>
        <w:t xml:space="preserve"> differences </w:t>
      </w:r>
      <w:r w:rsidR="00936FF0">
        <w:rPr>
          <w:sz w:val="24"/>
          <w:szCs w:val="24"/>
        </w:rPr>
        <w:t xml:space="preserve">in provider type </w:t>
      </w:r>
      <w:r w:rsidR="00FE4A5F">
        <w:rPr>
          <w:sz w:val="24"/>
          <w:szCs w:val="24"/>
        </w:rPr>
        <w:t>may</w:t>
      </w:r>
      <w:r>
        <w:rPr>
          <w:sz w:val="24"/>
          <w:szCs w:val="24"/>
        </w:rPr>
        <w:t xml:space="preserve"> affect</w:t>
      </w:r>
      <w:r w:rsidR="00936FF0">
        <w:rPr>
          <w:sz w:val="24"/>
          <w:szCs w:val="24"/>
        </w:rPr>
        <w:t xml:space="preserve"> reimbursement</w:t>
      </w:r>
      <w:r>
        <w:rPr>
          <w:sz w:val="24"/>
          <w:szCs w:val="24"/>
        </w:rPr>
        <w:t xml:space="preserve">. </w:t>
      </w:r>
      <w:r w:rsidR="00936FF0">
        <w:rPr>
          <w:sz w:val="24"/>
          <w:szCs w:val="24"/>
        </w:rPr>
        <w:t>Th</w:t>
      </w:r>
      <w:r w:rsidR="007E712E">
        <w:rPr>
          <w:sz w:val="24"/>
          <w:szCs w:val="24"/>
        </w:rPr>
        <w:t>e next section of this</w:t>
      </w:r>
      <w:r w:rsidR="00936FF0">
        <w:rPr>
          <w:sz w:val="24"/>
          <w:szCs w:val="24"/>
        </w:rPr>
        <w:t xml:space="preserve"> document </w:t>
      </w:r>
      <w:r w:rsidR="00612EF1">
        <w:rPr>
          <w:sz w:val="24"/>
          <w:szCs w:val="24"/>
        </w:rPr>
        <w:t>details</w:t>
      </w:r>
      <w:r w:rsidR="007E712E">
        <w:rPr>
          <w:sz w:val="24"/>
          <w:szCs w:val="24"/>
        </w:rPr>
        <w:t xml:space="preserve"> the different reimbursement methodologies and </w:t>
      </w:r>
      <w:r w:rsidR="00473993">
        <w:rPr>
          <w:sz w:val="24"/>
          <w:szCs w:val="24"/>
        </w:rPr>
        <w:t xml:space="preserve">how </w:t>
      </w:r>
      <w:r w:rsidR="007E712E">
        <w:rPr>
          <w:sz w:val="24"/>
          <w:szCs w:val="24"/>
        </w:rPr>
        <w:t xml:space="preserve">the provider type </w:t>
      </w:r>
      <w:r w:rsidR="00250D8E">
        <w:rPr>
          <w:sz w:val="24"/>
          <w:szCs w:val="24"/>
        </w:rPr>
        <w:t>impacts</w:t>
      </w:r>
      <w:r w:rsidR="007E712E">
        <w:rPr>
          <w:sz w:val="24"/>
          <w:szCs w:val="24"/>
        </w:rPr>
        <w:t xml:space="preserve"> which methodology is used.</w:t>
      </w:r>
    </w:p>
    <w:p w14:paraId="75B70A2A" w14:textId="77777777" w:rsidR="003C132F" w:rsidRDefault="003C132F" w:rsidP="00792E7B">
      <w:pPr>
        <w:pStyle w:val="Default"/>
        <w:jc w:val="both"/>
      </w:pPr>
    </w:p>
    <w:p w14:paraId="0A0DDD51" w14:textId="77777777" w:rsidR="00C5267E" w:rsidRPr="00C5267E" w:rsidRDefault="00D4120F" w:rsidP="00792E7B">
      <w:pPr>
        <w:pStyle w:val="Heading2"/>
        <w:spacing w:before="0"/>
      </w:pPr>
      <w:bookmarkStart w:id="5" w:name="_Toc56580516"/>
      <w:r>
        <w:t xml:space="preserve">C. </w:t>
      </w:r>
      <w:r w:rsidR="00C668C5">
        <w:t>BWC Inpatient Methodologies</w:t>
      </w:r>
      <w:bookmarkEnd w:id="5"/>
    </w:p>
    <w:p w14:paraId="50F02572" w14:textId="77777777" w:rsidR="00C7390D" w:rsidRPr="00C7390D" w:rsidRDefault="00473993" w:rsidP="00792E7B">
      <w:pPr>
        <w:spacing w:after="0" w:line="240" w:lineRule="auto"/>
      </w:pPr>
      <w:r>
        <w:rPr>
          <w:sz w:val="24"/>
          <w:szCs w:val="24"/>
        </w:rPr>
        <w:t>BWC utilizes</w:t>
      </w:r>
      <w:r w:rsidR="00386ABE">
        <w:rPr>
          <w:sz w:val="24"/>
          <w:szCs w:val="24"/>
        </w:rPr>
        <w:t xml:space="preserve"> </w:t>
      </w:r>
      <w:r>
        <w:rPr>
          <w:sz w:val="24"/>
          <w:szCs w:val="24"/>
        </w:rPr>
        <w:t>t</w:t>
      </w:r>
      <w:r w:rsidR="003C132F" w:rsidRPr="00386ABE">
        <w:rPr>
          <w:sz w:val="24"/>
          <w:szCs w:val="24"/>
        </w:rPr>
        <w:t>hree different methodologies for reimbursing hospitals for inpatient services</w:t>
      </w:r>
      <w:r w:rsidR="00C7390D">
        <w:rPr>
          <w:sz w:val="24"/>
          <w:szCs w:val="24"/>
        </w:rPr>
        <w:t>. The table below lists</w:t>
      </w:r>
      <w:r w:rsidR="00C7390D" w:rsidRPr="00CE60DE">
        <w:rPr>
          <w:sz w:val="24"/>
          <w:szCs w:val="24"/>
        </w:rPr>
        <w:t xml:space="preserve"> each reimbursement methodology, its corresponding BWC hospital type and IPPS </w:t>
      </w:r>
      <w:r w:rsidR="00C7390D">
        <w:rPr>
          <w:sz w:val="24"/>
          <w:szCs w:val="24"/>
        </w:rPr>
        <w:t>eligible or IPPS exempt status.</w:t>
      </w:r>
      <w:r w:rsidR="00C7390D" w:rsidRPr="00CE60DE">
        <w:rPr>
          <w:sz w:val="24"/>
          <w:szCs w:val="24"/>
        </w:rPr>
        <w:t xml:space="preserve"> </w:t>
      </w:r>
      <w:r w:rsidR="00226821" w:rsidRPr="00226821">
        <w:rPr>
          <w:sz w:val="24"/>
          <w:szCs w:val="24"/>
        </w:rPr>
        <w:t xml:space="preserve">Each of these methodologies is </w:t>
      </w:r>
      <w:r w:rsidR="00226821">
        <w:rPr>
          <w:sz w:val="24"/>
          <w:szCs w:val="24"/>
        </w:rPr>
        <w:t xml:space="preserve">further </w:t>
      </w:r>
      <w:r w:rsidR="00226821" w:rsidRPr="00226821">
        <w:rPr>
          <w:sz w:val="24"/>
          <w:szCs w:val="24"/>
        </w:rPr>
        <w:t>detailed within this document.</w:t>
      </w:r>
    </w:p>
    <w:p w14:paraId="27D96906" w14:textId="77777777" w:rsidR="0083089A" w:rsidRDefault="0083089A" w:rsidP="00792E7B">
      <w:pPr>
        <w:spacing w:after="0"/>
        <w:rPr>
          <w:sz w:val="24"/>
          <w:szCs w:val="24"/>
        </w:rPr>
      </w:pPr>
      <w:r>
        <w:rPr>
          <w:sz w:val="24"/>
          <w:szCs w:val="24"/>
        </w:rPr>
        <w:br w:type="page"/>
      </w:r>
    </w:p>
    <w:p w14:paraId="5A9EC027" w14:textId="77777777" w:rsidR="00C7390D" w:rsidRDefault="00C7390D" w:rsidP="00C7390D">
      <w:pPr>
        <w:spacing w:after="0" w:line="240" w:lineRule="auto"/>
        <w:rPr>
          <w:sz w:val="24"/>
          <w:szCs w:val="24"/>
        </w:rPr>
      </w:pPr>
    </w:p>
    <w:tbl>
      <w:tblPr>
        <w:tblW w:w="9360" w:type="dxa"/>
        <w:tblInd w:w="80" w:type="dxa"/>
        <w:tblCellMar>
          <w:left w:w="0" w:type="dxa"/>
          <w:right w:w="0" w:type="dxa"/>
        </w:tblCellMar>
        <w:tblLook w:val="04A0" w:firstRow="1" w:lastRow="0" w:firstColumn="1" w:lastColumn="0" w:noHBand="0" w:noVBand="1"/>
      </w:tblPr>
      <w:tblGrid>
        <w:gridCol w:w="1440"/>
        <w:gridCol w:w="2520"/>
        <w:gridCol w:w="5400"/>
      </w:tblGrid>
      <w:tr w:rsidR="00C7390D" w:rsidRPr="00473993" w14:paraId="3C8310AA" w14:textId="77777777" w:rsidTr="005C2E14">
        <w:trPr>
          <w:trHeight w:val="694"/>
        </w:trPr>
        <w:tc>
          <w:tcPr>
            <w:tcW w:w="1440" w:type="dxa"/>
            <w:tcBorders>
              <w:top w:val="single" w:sz="8" w:space="0" w:color="FFFFFF"/>
              <w:left w:val="single" w:sz="8" w:space="0" w:color="FFFFFF"/>
              <w:bottom w:val="single" w:sz="24" w:space="0" w:color="FFFFFF"/>
              <w:right w:val="single" w:sz="8" w:space="0" w:color="FFFFFF"/>
            </w:tcBorders>
            <w:shd w:val="clear" w:color="auto" w:fill="7AABDE"/>
          </w:tcPr>
          <w:p w14:paraId="173E821F" w14:textId="77777777" w:rsidR="00C7390D" w:rsidRPr="00473993" w:rsidRDefault="00C7390D" w:rsidP="002210BC">
            <w:pPr>
              <w:spacing w:after="0" w:line="240" w:lineRule="auto"/>
              <w:jc w:val="center"/>
              <w:rPr>
                <w:b/>
                <w:bCs/>
                <w:sz w:val="24"/>
                <w:szCs w:val="24"/>
              </w:rPr>
            </w:pPr>
            <w:r>
              <w:rPr>
                <w:b/>
                <w:bCs/>
                <w:sz w:val="24"/>
                <w:szCs w:val="24"/>
              </w:rPr>
              <w:t>Methodology</w:t>
            </w:r>
          </w:p>
        </w:tc>
        <w:tc>
          <w:tcPr>
            <w:tcW w:w="2520" w:type="dxa"/>
            <w:tcBorders>
              <w:top w:val="single" w:sz="8" w:space="0" w:color="FFFFFF"/>
              <w:left w:val="single" w:sz="8" w:space="0" w:color="FFFFFF"/>
              <w:bottom w:val="single" w:sz="24" w:space="0" w:color="FFFFFF"/>
              <w:right w:val="single" w:sz="8" w:space="0" w:color="FFFFFF"/>
            </w:tcBorders>
            <w:shd w:val="clear" w:color="auto" w:fill="7AABDE"/>
            <w:tcMar>
              <w:top w:w="15" w:type="dxa"/>
              <w:left w:w="15" w:type="dxa"/>
              <w:bottom w:w="0" w:type="dxa"/>
              <w:right w:w="15" w:type="dxa"/>
            </w:tcMar>
            <w:hideMark/>
          </w:tcPr>
          <w:p w14:paraId="54128C98" w14:textId="77777777" w:rsidR="00C7390D" w:rsidRPr="00473993" w:rsidRDefault="00C7390D" w:rsidP="002210BC">
            <w:pPr>
              <w:spacing w:after="0" w:line="240" w:lineRule="auto"/>
              <w:jc w:val="center"/>
              <w:rPr>
                <w:sz w:val="24"/>
                <w:szCs w:val="24"/>
              </w:rPr>
            </w:pPr>
            <w:r w:rsidRPr="00473993">
              <w:rPr>
                <w:b/>
                <w:bCs/>
                <w:sz w:val="24"/>
                <w:szCs w:val="24"/>
              </w:rPr>
              <w:t xml:space="preserve">BWC </w:t>
            </w:r>
            <w:r w:rsidR="005C2E14">
              <w:rPr>
                <w:b/>
                <w:bCs/>
                <w:sz w:val="24"/>
                <w:szCs w:val="24"/>
              </w:rPr>
              <w:t>Methodology Description</w:t>
            </w:r>
            <w:r>
              <w:rPr>
                <w:b/>
                <w:bCs/>
                <w:sz w:val="24"/>
                <w:szCs w:val="24"/>
              </w:rPr>
              <w:t xml:space="preserve"> </w:t>
            </w:r>
          </w:p>
        </w:tc>
        <w:tc>
          <w:tcPr>
            <w:tcW w:w="5400" w:type="dxa"/>
            <w:tcBorders>
              <w:top w:val="single" w:sz="8" w:space="0" w:color="FFFFFF"/>
              <w:left w:val="single" w:sz="8" w:space="0" w:color="FFFFFF"/>
              <w:bottom w:val="single" w:sz="24" w:space="0" w:color="FFFFFF"/>
              <w:right w:val="single" w:sz="8" w:space="0" w:color="FFFFFF"/>
            </w:tcBorders>
            <w:shd w:val="clear" w:color="auto" w:fill="7AABDE"/>
            <w:tcMar>
              <w:top w:w="15" w:type="dxa"/>
              <w:left w:w="108" w:type="dxa"/>
              <w:bottom w:w="0" w:type="dxa"/>
              <w:right w:w="108" w:type="dxa"/>
            </w:tcMar>
            <w:hideMark/>
          </w:tcPr>
          <w:p w14:paraId="66A878EF" w14:textId="77777777" w:rsidR="00C7390D" w:rsidRPr="00473993" w:rsidRDefault="00C7390D" w:rsidP="002210BC">
            <w:pPr>
              <w:spacing w:after="0" w:line="240" w:lineRule="auto"/>
              <w:jc w:val="center"/>
              <w:rPr>
                <w:sz w:val="24"/>
                <w:szCs w:val="24"/>
              </w:rPr>
            </w:pPr>
            <w:r w:rsidRPr="00473993">
              <w:rPr>
                <w:b/>
                <w:bCs/>
                <w:sz w:val="24"/>
                <w:szCs w:val="24"/>
              </w:rPr>
              <w:t>BWC Enrollment Type and</w:t>
            </w:r>
          </w:p>
          <w:p w14:paraId="6834613B" w14:textId="77777777" w:rsidR="00C7390D" w:rsidRPr="00473993" w:rsidRDefault="00C7390D" w:rsidP="002210BC">
            <w:pPr>
              <w:spacing w:after="0" w:line="240" w:lineRule="auto"/>
              <w:jc w:val="center"/>
              <w:rPr>
                <w:sz w:val="24"/>
                <w:szCs w:val="24"/>
              </w:rPr>
            </w:pPr>
            <w:r w:rsidRPr="00473993">
              <w:rPr>
                <w:b/>
                <w:bCs/>
                <w:sz w:val="24"/>
                <w:szCs w:val="24"/>
              </w:rPr>
              <w:t>Medicare IPPS Status</w:t>
            </w:r>
          </w:p>
        </w:tc>
      </w:tr>
      <w:tr w:rsidR="00C7390D" w:rsidRPr="00473993" w14:paraId="13392638" w14:textId="77777777" w:rsidTr="005C2E14">
        <w:trPr>
          <w:trHeight w:val="627"/>
        </w:trPr>
        <w:tc>
          <w:tcPr>
            <w:tcW w:w="1440" w:type="dxa"/>
            <w:tcBorders>
              <w:top w:val="single" w:sz="24" w:space="0" w:color="FFFFFF"/>
              <w:left w:val="single" w:sz="8" w:space="0" w:color="FFFFFF"/>
              <w:bottom w:val="single" w:sz="8" w:space="0" w:color="FFFFFF"/>
              <w:right w:val="single" w:sz="8" w:space="0" w:color="FFFFFF"/>
            </w:tcBorders>
            <w:shd w:val="clear" w:color="auto" w:fill="CADDF2"/>
          </w:tcPr>
          <w:p w14:paraId="0B2329BF" w14:textId="77777777" w:rsidR="00C7390D" w:rsidRPr="00473993" w:rsidRDefault="00C7390D" w:rsidP="002210BC">
            <w:pPr>
              <w:spacing w:after="0" w:line="240" w:lineRule="auto"/>
              <w:jc w:val="center"/>
              <w:rPr>
                <w:sz w:val="24"/>
                <w:szCs w:val="24"/>
              </w:rPr>
            </w:pPr>
            <w:r>
              <w:rPr>
                <w:sz w:val="24"/>
                <w:szCs w:val="24"/>
              </w:rPr>
              <w:t>1</w:t>
            </w:r>
          </w:p>
        </w:tc>
        <w:tc>
          <w:tcPr>
            <w:tcW w:w="2520" w:type="dxa"/>
            <w:tcBorders>
              <w:top w:val="single" w:sz="24" w:space="0" w:color="FFFFFF"/>
              <w:left w:val="single" w:sz="8" w:space="0" w:color="FFFFFF"/>
              <w:bottom w:val="single" w:sz="8" w:space="0" w:color="FFFFFF"/>
              <w:right w:val="single" w:sz="8" w:space="0" w:color="FFFFFF"/>
            </w:tcBorders>
            <w:shd w:val="clear" w:color="auto" w:fill="CADDF2"/>
            <w:tcMar>
              <w:top w:w="15" w:type="dxa"/>
              <w:left w:w="15" w:type="dxa"/>
              <w:bottom w:w="0" w:type="dxa"/>
              <w:right w:w="15" w:type="dxa"/>
            </w:tcMar>
            <w:hideMark/>
          </w:tcPr>
          <w:p w14:paraId="5F052BA6" w14:textId="77777777" w:rsidR="00C7390D" w:rsidRPr="00473993" w:rsidRDefault="00C7390D" w:rsidP="002210BC">
            <w:pPr>
              <w:spacing w:after="0" w:line="240" w:lineRule="auto"/>
              <w:rPr>
                <w:sz w:val="24"/>
                <w:szCs w:val="24"/>
              </w:rPr>
            </w:pPr>
            <w:r w:rsidRPr="00473993">
              <w:rPr>
                <w:sz w:val="24"/>
                <w:szCs w:val="24"/>
              </w:rPr>
              <w:t xml:space="preserve">Medicare </w:t>
            </w:r>
            <w:r>
              <w:rPr>
                <w:sz w:val="24"/>
                <w:szCs w:val="24"/>
              </w:rPr>
              <w:t>IPPS-</w:t>
            </w:r>
            <w:r w:rsidRPr="00473993">
              <w:rPr>
                <w:sz w:val="24"/>
                <w:szCs w:val="24"/>
              </w:rPr>
              <w:t>based methodology</w:t>
            </w:r>
            <w:r>
              <w:rPr>
                <w:sz w:val="24"/>
                <w:szCs w:val="24"/>
              </w:rPr>
              <w:t xml:space="preserve"> </w:t>
            </w:r>
          </w:p>
        </w:tc>
        <w:tc>
          <w:tcPr>
            <w:tcW w:w="5400" w:type="dxa"/>
            <w:tcBorders>
              <w:top w:val="single" w:sz="24" w:space="0" w:color="FFFFFF"/>
              <w:left w:val="single" w:sz="8" w:space="0" w:color="FFFFFF"/>
              <w:bottom w:val="single" w:sz="8" w:space="0" w:color="FFFFFF"/>
              <w:right w:val="single" w:sz="8" w:space="0" w:color="FFFFFF"/>
            </w:tcBorders>
            <w:shd w:val="clear" w:color="auto" w:fill="CADDF2"/>
            <w:tcMar>
              <w:top w:w="15" w:type="dxa"/>
              <w:left w:w="108" w:type="dxa"/>
              <w:bottom w:w="0" w:type="dxa"/>
              <w:right w:w="108" w:type="dxa"/>
            </w:tcMar>
            <w:hideMark/>
          </w:tcPr>
          <w:p w14:paraId="64686009" w14:textId="2893CCDD" w:rsidR="00C7390D" w:rsidRPr="00473993" w:rsidRDefault="00C7390D" w:rsidP="002210BC">
            <w:pPr>
              <w:spacing w:after="0" w:line="240" w:lineRule="auto"/>
              <w:rPr>
                <w:sz w:val="24"/>
                <w:szCs w:val="24"/>
              </w:rPr>
            </w:pPr>
            <w:r w:rsidRPr="00473993">
              <w:rPr>
                <w:sz w:val="24"/>
                <w:szCs w:val="24"/>
              </w:rPr>
              <w:t xml:space="preserve">Type 34 – Acute care hospital </w:t>
            </w:r>
            <w:r w:rsidR="00324DC1">
              <w:rPr>
                <w:sz w:val="24"/>
                <w:szCs w:val="24"/>
              </w:rPr>
              <w:t>and</w:t>
            </w:r>
            <w:r w:rsidRPr="00473993">
              <w:rPr>
                <w:sz w:val="24"/>
                <w:szCs w:val="24"/>
              </w:rPr>
              <w:t xml:space="preserve"> Medicare IPPS eligible</w:t>
            </w:r>
          </w:p>
        </w:tc>
      </w:tr>
      <w:tr w:rsidR="00C7390D" w:rsidRPr="00473993" w14:paraId="43240D71" w14:textId="77777777" w:rsidTr="005C2E14">
        <w:trPr>
          <w:trHeight w:val="1306"/>
        </w:trPr>
        <w:tc>
          <w:tcPr>
            <w:tcW w:w="1440" w:type="dxa"/>
            <w:tcBorders>
              <w:top w:val="single" w:sz="8" w:space="0" w:color="FFFFFF"/>
              <w:left w:val="single" w:sz="8" w:space="0" w:color="FFFFFF"/>
              <w:bottom w:val="single" w:sz="8" w:space="0" w:color="FFFFFF"/>
              <w:right w:val="single" w:sz="8" w:space="0" w:color="FFFFFF"/>
            </w:tcBorders>
            <w:shd w:val="clear" w:color="auto" w:fill="E4EEF8"/>
          </w:tcPr>
          <w:p w14:paraId="127BE9DE" w14:textId="77777777" w:rsidR="00C7390D" w:rsidRPr="00473993" w:rsidRDefault="00C7390D" w:rsidP="002210BC">
            <w:pPr>
              <w:spacing w:after="0" w:line="240" w:lineRule="auto"/>
              <w:jc w:val="center"/>
              <w:rPr>
                <w:sz w:val="24"/>
                <w:szCs w:val="24"/>
              </w:rPr>
            </w:pPr>
            <w:r>
              <w:rPr>
                <w:sz w:val="24"/>
                <w:szCs w:val="24"/>
              </w:rPr>
              <w:t>2</w:t>
            </w:r>
          </w:p>
        </w:tc>
        <w:tc>
          <w:tcPr>
            <w:tcW w:w="2520" w:type="dxa"/>
            <w:tcBorders>
              <w:top w:val="single" w:sz="8" w:space="0" w:color="FFFFFF"/>
              <w:left w:val="single" w:sz="8" w:space="0" w:color="FFFFFF"/>
              <w:bottom w:val="single" w:sz="8" w:space="0" w:color="FFFFFF"/>
              <w:right w:val="single" w:sz="8" w:space="0" w:color="FFFFFF"/>
            </w:tcBorders>
            <w:shd w:val="clear" w:color="auto" w:fill="E4EEF8"/>
            <w:tcMar>
              <w:top w:w="15" w:type="dxa"/>
              <w:left w:w="15" w:type="dxa"/>
              <w:bottom w:w="0" w:type="dxa"/>
              <w:right w:w="15" w:type="dxa"/>
            </w:tcMar>
            <w:hideMark/>
          </w:tcPr>
          <w:p w14:paraId="36C7B3FA" w14:textId="77777777" w:rsidR="00C7390D" w:rsidRPr="00473993" w:rsidRDefault="00C7390D" w:rsidP="002210BC">
            <w:pPr>
              <w:spacing w:after="0" w:line="240" w:lineRule="auto"/>
              <w:rPr>
                <w:sz w:val="24"/>
                <w:szCs w:val="24"/>
              </w:rPr>
            </w:pPr>
            <w:r w:rsidRPr="00473993">
              <w:rPr>
                <w:sz w:val="24"/>
                <w:szCs w:val="24"/>
              </w:rPr>
              <w:t xml:space="preserve">IPPS-exempt methodology </w:t>
            </w:r>
          </w:p>
        </w:tc>
        <w:tc>
          <w:tcPr>
            <w:tcW w:w="5400" w:type="dxa"/>
            <w:tcBorders>
              <w:top w:val="single" w:sz="8" w:space="0" w:color="FFFFFF"/>
              <w:left w:val="single" w:sz="8" w:space="0" w:color="FFFFFF"/>
              <w:bottom w:val="single" w:sz="8" w:space="0" w:color="FFFFFF"/>
              <w:right w:val="single" w:sz="8" w:space="0" w:color="FFFFFF"/>
            </w:tcBorders>
            <w:shd w:val="clear" w:color="auto" w:fill="ECF1F9"/>
            <w:tcMar>
              <w:top w:w="15" w:type="dxa"/>
              <w:left w:w="108" w:type="dxa"/>
              <w:bottom w:w="0" w:type="dxa"/>
              <w:right w:w="108" w:type="dxa"/>
            </w:tcMar>
            <w:hideMark/>
          </w:tcPr>
          <w:p w14:paraId="26505EDB" w14:textId="49270C68" w:rsidR="00C7390D" w:rsidRPr="00473993" w:rsidRDefault="00C7390D" w:rsidP="002210BC">
            <w:pPr>
              <w:spacing w:after="0" w:line="240" w:lineRule="auto"/>
              <w:rPr>
                <w:sz w:val="24"/>
                <w:szCs w:val="24"/>
              </w:rPr>
            </w:pPr>
            <w:r w:rsidRPr="00473993">
              <w:rPr>
                <w:sz w:val="24"/>
                <w:szCs w:val="24"/>
              </w:rPr>
              <w:t xml:space="preserve">Type 34 – Acute care hospital </w:t>
            </w:r>
            <w:r w:rsidR="00324DC1">
              <w:rPr>
                <w:sz w:val="24"/>
                <w:szCs w:val="24"/>
              </w:rPr>
              <w:t xml:space="preserve">and </w:t>
            </w:r>
            <w:r w:rsidRPr="00473993">
              <w:rPr>
                <w:sz w:val="24"/>
                <w:szCs w:val="24"/>
              </w:rPr>
              <w:t xml:space="preserve"> Medicare IPPS exempt hospital or unit</w:t>
            </w:r>
          </w:p>
          <w:p w14:paraId="7453B3A6" w14:textId="77777777" w:rsidR="00C7390D" w:rsidRPr="00473993" w:rsidRDefault="00C7390D" w:rsidP="002210BC">
            <w:pPr>
              <w:spacing w:after="0" w:line="240" w:lineRule="auto"/>
              <w:rPr>
                <w:sz w:val="24"/>
                <w:szCs w:val="24"/>
              </w:rPr>
            </w:pPr>
            <w:r w:rsidRPr="00473993">
              <w:rPr>
                <w:sz w:val="24"/>
                <w:szCs w:val="24"/>
              </w:rPr>
              <w:t xml:space="preserve">Type 36 – </w:t>
            </w:r>
            <w:r w:rsidR="002210BC">
              <w:rPr>
                <w:sz w:val="24"/>
                <w:szCs w:val="24"/>
              </w:rPr>
              <w:t>Psychiatric</w:t>
            </w:r>
            <w:r w:rsidRPr="00473993">
              <w:rPr>
                <w:sz w:val="24"/>
                <w:szCs w:val="24"/>
              </w:rPr>
              <w:t xml:space="preserve"> hospital</w:t>
            </w:r>
          </w:p>
          <w:p w14:paraId="4A1FDB12" w14:textId="77777777" w:rsidR="00C7390D" w:rsidRPr="00473993" w:rsidRDefault="00C7390D" w:rsidP="002210BC">
            <w:pPr>
              <w:spacing w:after="0" w:line="240" w:lineRule="auto"/>
              <w:rPr>
                <w:sz w:val="24"/>
                <w:szCs w:val="24"/>
              </w:rPr>
            </w:pPr>
            <w:r w:rsidRPr="00473993">
              <w:rPr>
                <w:sz w:val="24"/>
                <w:szCs w:val="24"/>
              </w:rPr>
              <w:t>Type 37 – Rehabilitation hospital</w:t>
            </w:r>
          </w:p>
        </w:tc>
      </w:tr>
      <w:tr w:rsidR="00C7390D" w:rsidRPr="00473993" w14:paraId="5B963541" w14:textId="77777777" w:rsidTr="005C2E14">
        <w:trPr>
          <w:trHeight w:val="496"/>
        </w:trPr>
        <w:tc>
          <w:tcPr>
            <w:tcW w:w="1440" w:type="dxa"/>
            <w:tcBorders>
              <w:top w:val="single" w:sz="8" w:space="0" w:color="FFFFFF"/>
              <w:left w:val="single" w:sz="8" w:space="0" w:color="FFFFFF"/>
              <w:bottom w:val="single" w:sz="8" w:space="0" w:color="FFFFFF"/>
              <w:right w:val="single" w:sz="8" w:space="0" w:color="FFFFFF"/>
            </w:tcBorders>
            <w:shd w:val="clear" w:color="auto" w:fill="CADDF2"/>
          </w:tcPr>
          <w:p w14:paraId="592481F7" w14:textId="77777777" w:rsidR="00C7390D" w:rsidRPr="00473993" w:rsidRDefault="00C7390D" w:rsidP="002210BC">
            <w:pPr>
              <w:spacing w:after="0" w:line="240" w:lineRule="auto"/>
              <w:jc w:val="center"/>
              <w:rPr>
                <w:sz w:val="24"/>
                <w:szCs w:val="24"/>
              </w:rPr>
            </w:pPr>
            <w:r>
              <w:rPr>
                <w:sz w:val="24"/>
                <w:szCs w:val="24"/>
              </w:rPr>
              <w:t>3</w:t>
            </w:r>
          </w:p>
        </w:tc>
        <w:tc>
          <w:tcPr>
            <w:tcW w:w="2520" w:type="dxa"/>
            <w:tcBorders>
              <w:top w:val="single" w:sz="8" w:space="0" w:color="FFFFFF"/>
              <w:left w:val="single" w:sz="8" w:space="0" w:color="FFFFFF"/>
              <w:bottom w:val="single" w:sz="8" w:space="0" w:color="FFFFFF"/>
              <w:right w:val="single" w:sz="8" w:space="0" w:color="FFFFFF"/>
            </w:tcBorders>
            <w:shd w:val="clear" w:color="auto" w:fill="CADDF2"/>
            <w:tcMar>
              <w:top w:w="15" w:type="dxa"/>
              <w:left w:w="15" w:type="dxa"/>
              <w:bottom w:w="0" w:type="dxa"/>
              <w:right w:w="15" w:type="dxa"/>
            </w:tcMar>
            <w:hideMark/>
          </w:tcPr>
          <w:p w14:paraId="689AB95E" w14:textId="77777777" w:rsidR="00C7390D" w:rsidRPr="00473993" w:rsidRDefault="00C7390D" w:rsidP="002210BC">
            <w:pPr>
              <w:spacing w:after="0" w:line="240" w:lineRule="auto"/>
              <w:rPr>
                <w:sz w:val="24"/>
                <w:szCs w:val="24"/>
              </w:rPr>
            </w:pPr>
            <w:r w:rsidRPr="00473993">
              <w:rPr>
                <w:sz w:val="24"/>
                <w:szCs w:val="24"/>
              </w:rPr>
              <w:t>All-inclusive per diem payment</w:t>
            </w:r>
          </w:p>
        </w:tc>
        <w:tc>
          <w:tcPr>
            <w:tcW w:w="5400" w:type="dxa"/>
            <w:tcBorders>
              <w:top w:val="single" w:sz="8" w:space="0" w:color="FFFFFF"/>
              <w:left w:val="single" w:sz="8" w:space="0" w:color="FFFFFF"/>
              <w:bottom w:val="single" w:sz="8" w:space="0" w:color="FFFFFF"/>
              <w:right w:val="single" w:sz="8" w:space="0" w:color="FFFFFF"/>
            </w:tcBorders>
            <w:shd w:val="clear" w:color="auto" w:fill="CADDF2"/>
            <w:tcMar>
              <w:top w:w="15" w:type="dxa"/>
              <w:left w:w="108" w:type="dxa"/>
              <w:bottom w:w="0" w:type="dxa"/>
              <w:right w:w="108" w:type="dxa"/>
            </w:tcMar>
            <w:hideMark/>
          </w:tcPr>
          <w:p w14:paraId="12C646C8" w14:textId="77777777" w:rsidR="00C7390D" w:rsidRPr="00473993" w:rsidRDefault="00C7390D" w:rsidP="002210BC">
            <w:pPr>
              <w:spacing w:after="0" w:line="240" w:lineRule="auto"/>
              <w:rPr>
                <w:sz w:val="24"/>
                <w:szCs w:val="24"/>
              </w:rPr>
            </w:pPr>
            <w:r w:rsidRPr="00473993">
              <w:rPr>
                <w:sz w:val="24"/>
                <w:szCs w:val="24"/>
              </w:rPr>
              <w:t>Type 35 – Detox hospital</w:t>
            </w:r>
            <w:r>
              <w:rPr>
                <w:sz w:val="24"/>
                <w:szCs w:val="24"/>
              </w:rPr>
              <w:t>*</w:t>
            </w:r>
          </w:p>
        </w:tc>
      </w:tr>
    </w:tbl>
    <w:p w14:paraId="2C85ED35" w14:textId="77777777" w:rsidR="009C7113" w:rsidRDefault="009C7113" w:rsidP="009C7113">
      <w:pPr>
        <w:spacing w:after="0"/>
        <w:rPr>
          <w:rFonts w:ascii="Calibri" w:hAnsi="Calibri" w:cs="Calibri"/>
          <w:sz w:val="24"/>
          <w:szCs w:val="24"/>
        </w:rPr>
      </w:pPr>
    </w:p>
    <w:p w14:paraId="28E9E7FE" w14:textId="3C381BB5" w:rsidR="00C7390D" w:rsidRDefault="00C7390D" w:rsidP="009C7113">
      <w:pPr>
        <w:spacing w:after="0"/>
        <w:rPr>
          <w:iCs/>
          <w:sz w:val="24"/>
          <w:szCs w:val="24"/>
        </w:rPr>
      </w:pPr>
      <w:r w:rsidRPr="00DC3FD4">
        <w:rPr>
          <w:rFonts w:ascii="Calibri" w:hAnsi="Calibri" w:cs="Calibri"/>
          <w:sz w:val="24"/>
          <w:szCs w:val="24"/>
        </w:rPr>
        <w:t>*Note</w:t>
      </w:r>
      <w:r>
        <w:rPr>
          <w:rFonts w:ascii="Calibri" w:hAnsi="Calibri" w:cs="Calibri"/>
          <w:sz w:val="24"/>
          <w:szCs w:val="24"/>
        </w:rPr>
        <w:t xml:space="preserve"> </w:t>
      </w:r>
      <w:r w:rsidRPr="00DC3FD4">
        <w:rPr>
          <w:rFonts w:ascii="Calibri" w:hAnsi="Calibri" w:cs="Calibri"/>
          <w:sz w:val="24"/>
          <w:szCs w:val="24"/>
        </w:rPr>
        <w:t xml:space="preserve">-  </w:t>
      </w:r>
      <w:r w:rsidRPr="00DC3FD4">
        <w:rPr>
          <w:iCs/>
          <w:sz w:val="24"/>
          <w:szCs w:val="24"/>
        </w:rPr>
        <w:t xml:space="preserve">Provider type 35 is applicable to inpatient detox services only, as provided in accordance with </w:t>
      </w:r>
      <w:r w:rsidRPr="00DC3FD4">
        <w:rPr>
          <w:sz w:val="24"/>
          <w:szCs w:val="24"/>
        </w:rPr>
        <w:t>Rule 4123-6-21.</w:t>
      </w:r>
      <w:r w:rsidRPr="00DC3FD4">
        <w:rPr>
          <w:iCs/>
          <w:sz w:val="24"/>
          <w:szCs w:val="24"/>
        </w:rPr>
        <w:t xml:space="preserve">7, </w:t>
      </w:r>
      <w:r w:rsidRPr="00DC3FD4">
        <w:rPr>
          <w:i/>
          <w:iCs/>
          <w:sz w:val="24"/>
          <w:szCs w:val="24"/>
        </w:rPr>
        <w:t>Utilization of opioids in the subacute or chronic phases of pain treatment for a work-related injury or occupational disease</w:t>
      </w:r>
      <w:r w:rsidRPr="00DC3FD4">
        <w:rPr>
          <w:iCs/>
          <w:sz w:val="24"/>
          <w:szCs w:val="24"/>
        </w:rPr>
        <w:t>. All other services shall be billed under other hospital provider types.</w:t>
      </w:r>
    </w:p>
    <w:p w14:paraId="3075B7AB" w14:textId="77777777" w:rsidR="009C7113" w:rsidRDefault="009C7113" w:rsidP="009C7113">
      <w:pPr>
        <w:spacing w:after="0"/>
        <w:rPr>
          <w:sz w:val="24"/>
          <w:szCs w:val="24"/>
        </w:rPr>
      </w:pPr>
    </w:p>
    <w:p w14:paraId="2F13DE09" w14:textId="77777777" w:rsidR="000C6A7D" w:rsidRPr="00760DE1" w:rsidRDefault="00D4120F" w:rsidP="00D4120F">
      <w:pPr>
        <w:pStyle w:val="Heading2"/>
      </w:pPr>
      <w:bookmarkStart w:id="6" w:name="_Toc56580517"/>
      <w:r>
        <w:t xml:space="preserve">D. </w:t>
      </w:r>
      <w:r w:rsidR="00841133">
        <w:t>Determining the Appropriate</w:t>
      </w:r>
      <w:r w:rsidR="00C668C5" w:rsidRPr="00760DE1">
        <w:t xml:space="preserve"> Inpatient Reimbursement Methodology</w:t>
      </w:r>
      <w:bookmarkEnd w:id="6"/>
    </w:p>
    <w:p w14:paraId="2839BA9D" w14:textId="499F201F" w:rsidR="000C6A7D" w:rsidRDefault="00D67E2A" w:rsidP="009C7113">
      <w:pPr>
        <w:spacing w:after="0" w:line="240" w:lineRule="auto"/>
        <w:rPr>
          <w:sz w:val="24"/>
          <w:szCs w:val="24"/>
        </w:rPr>
      </w:pPr>
      <w:r>
        <w:rPr>
          <w:sz w:val="24"/>
          <w:szCs w:val="24"/>
        </w:rPr>
        <w:t xml:space="preserve">A key step in </w:t>
      </w:r>
      <w:r w:rsidR="000C6A7D">
        <w:rPr>
          <w:sz w:val="24"/>
          <w:szCs w:val="24"/>
        </w:rPr>
        <w:t xml:space="preserve">processing inpatient bills is to determine which of the aforementioned </w:t>
      </w:r>
      <w:r w:rsidR="007716E9">
        <w:rPr>
          <w:sz w:val="24"/>
          <w:szCs w:val="24"/>
        </w:rPr>
        <w:t xml:space="preserve">three </w:t>
      </w:r>
      <w:r w:rsidR="000C6A7D">
        <w:rPr>
          <w:sz w:val="24"/>
          <w:szCs w:val="24"/>
        </w:rPr>
        <w:t>methodologies should be used.</w:t>
      </w:r>
      <w:r w:rsidR="00F74B74">
        <w:rPr>
          <w:sz w:val="24"/>
          <w:szCs w:val="24"/>
        </w:rPr>
        <w:t xml:space="preserve"> T</w:t>
      </w:r>
      <w:r w:rsidR="00F74B74" w:rsidRPr="00F74B74">
        <w:rPr>
          <w:sz w:val="24"/>
          <w:szCs w:val="24"/>
        </w:rPr>
        <w:t xml:space="preserve">he methodology utilized is determined by the </w:t>
      </w:r>
      <w:r w:rsidR="00A2663C" w:rsidRPr="00F74B74">
        <w:rPr>
          <w:sz w:val="24"/>
          <w:szCs w:val="24"/>
        </w:rPr>
        <w:t>BWC provider type under which the hospital is enrolled</w:t>
      </w:r>
      <w:r w:rsidR="00A2663C">
        <w:rPr>
          <w:sz w:val="24"/>
          <w:szCs w:val="24"/>
        </w:rPr>
        <w:t xml:space="preserve"> and/or by </w:t>
      </w:r>
      <w:r w:rsidR="00F74B74" w:rsidRPr="00F74B74">
        <w:rPr>
          <w:sz w:val="24"/>
          <w:szCs w:val="24"/>
        </w:rPr>
        <w:t>hospital’s IPPS or IPPS-exempt status with Medicare</w:t>
      </w:r>
      <w:r w:rsidR="00A2663C">
        <w:rPr>
          <w:sz w:val="24"/>
          <w:szCs w:val="24"/>
        </w:rPr>
        <w:t>.</w:t>
      </w:r>
    </w:p>
    <w:p w14:paraId="49B8ED7B" w14:textId="77777777" w:rsidR="00F74B74" w:rsidRDefault="00F74B74" w:rsidP="00B905D9">
      <w:pPr>
        <w:spacing w:after="0" w:line="240" w:lineRule="auto"/>
        <w:rPr>
          <w:sz w:val="24"/>
          <w:szCs w:val="24"/>
        </w:rPr>
      </w:pPr>
    </w:p>
    <w:p w14:paraId="567B565B" w14:textId="77777777" w:rsidR="00792E7B" w:rsidRDefault="00792E7B" w:rsidP="00792E7B">
      <w:pPr>
        <w:spacing w:after="0" w:line="240" w:lineRule="auto"/>
        <w:rPr>
          <w:sz w:val="24"/>
          <w:szCs w:val="24"/>
        </w:rPr>
      </w:pPr>
      <w:r>
        <w:rPr>
          <w:sz w:val="24"/>
          <w:szCs w:val="24"/>
        </w:rPr>
        <w:t xml:space="preserve">Medicare designates hospitals as IPPS eligible or IPPS exempt. </w:t>
      </w:r>
      <w:r w:rsidRPr="00727423">
        <w:rPr>
          <w:sz w:val="24"/>
          <w:szCs w:val="24"/>
        </w:rPr>
        <w:t>IPPS eligible hospitals</w:t>
      </w:r>
      <w:r>
        <w:rPr>
          <w:sz w:val="24"/>
          <w:szCs w:val="24"/>
        </w:rPr>
        <w:t xml:space="preserve"> are hospitals that Medicare reimburses under their IPPS methodology. BWC also reimburses these hospitals under the IPPS-based methodology. </w:t>
      </w:r>
      <w:r w:rsidRPr="00727423">
        <w:rPr>
          <w:sz w:val="24"/>
          <w:szCs w:val="24"/>
        </w:rPr>
        <w:t>IPPS exempt hospitals</w:t>
      </w:r>
      <w:r>
        <w:rPr>
          <w:sz w:val="24"/>
          <w:szCs w:val="24"/>
        </w:rPr>
        <w:t xml:space="preserve"> are facilities that meet criteria to be designated by Medicare as IPPS exempt.  These are certain:</w:t>
      </w:r>
    </w:p>
    <w:p w14:paraId="54ACD69F" w14:textId="77777777" w:rsidR="00792E7B" w:rsidRDefault="00792E7B" w:rsidP="00A11040">
      <w:pPr>
        <w:pStyle w:val="ListParagraph"/>
        <w:numPr>
          <w:ilvl w:val="0"/>
          <w:numId w:val="5"/>
        </w:numPr>
        <w:spacing w:after="0" w:line="240" w:lineRule="auto"/>
        <w:rPr>
          <w:sz w:val="24"/>
          <w:szCs w:val="24"/>
        </w:rPr>
      </w:pPr>
      <w:r>
        <w:rPr>
          <w:sz w:val="24"/>
          <w:szCs w:val="24"/>
        </w:rPr>
        <w:t>C</w:t>
      </w:r>
      <w:r w:rsidRPr="00711C69">
        <w:rPr>
          <w:sz w:val="24"/>
          <w:szCs w:val="24"/>
        </w:rPr>
        <w:t>ancer hospitals</w:t>
      </w:r>
    </w:p>
    <w:p w14:paraId="05B26B61" w14:textId="77777777" w:rsidR="00792E7B" w:rsidRDefault="00792E7B" w:rsidP="00A11040">
      <w:pPr>
        <w:pStyle w:val="ListParagraph"/>
        <w:numPr>
          <w:ilvl w:val="0"/>
          <w:numId w:val="5"/>
        </w:numPr>
        <w:spacing w:after="0" w:line="240" w:lineRule="auto"/>
        <w:rPr>
          <w:sz w:val="24"/>
          <w:szCs w:val="24"/>
        </w:rPr>
      </w:pPr>
      <w:r>
        <w:rPr>
          <w:sz w:val="24"/>
          <w:szCs w:val="24"/>
        </w:rPr>
        <w:t>C</w:t>
      </w:r>
      <w:r w:rsidRPr="00711C69">
        <w:rPr>
          <w:sz w:val="24"/>
          <w:szCs w:val="24"/>
        </w:rPr>
        <w:t>hildren’s hospital</w:t>
      </w:r>
      <w:r>
        <w:rPr>
          <w:sz w:val="24"/>
          <w:szCs w:val="24"/>
        </w:rPr>
        <w:t>s</w:t>
      </w:r>
    </w:p>
    <w:p w14:paraId="076E7D1F" w14:textId="77777777" w:rsidR="00792E7B" w:rsidRDefault="00792E7B" w:rsidP="00A11040">
      <w:pPr>
        <w:pStyle w:val="ListParagraph"/>
        <w:numPr>
          <w:ilvl w:val="0"/>
          <w:numId w:val="5"/>
        </w:numPr>
        <w:spacing w:after="0" w:line="240" w:lineRule="auto"/>
        <w:rPr>
          <w:sz w:val="24"/>
          <w:szCs w:val="24"/>
        </w:rPr>
      </w:pPr>
      <w:r w:rsidRPr="00711C69">
        <w:rPr>
          <w:sz w:val="24"/>
          <w:szCs w:val="24"/>
        </w:rPr>
        <w:t xml:space="preserve">Long term acute care </w:t>
      </w:r>
      <w:r>
        <w:rPr>
          <w:sz w:val="24"/>
          <w:szCs w:val="24"/>
        </w:rPr>
        <w:t>hospitals</w:t>
      </w:r>
    </w:p>
    <w:p w14:paraId="34C2B500" w14:textId="77777777" w:rsidR="00792E7B" w:rsidRDefault="00792E7B" w:rsidP="00A11040">
      <w:pPr>
        <w:pStyle w:val="ListParagraph"/>
        <w:numPr>
          <w:ilvl w:val="0"/>
          <w:numId w:val="5"/>
        </w:numPr>
        <w:spacing w:after="0" w:line="240" w:lineRule="auto"/>
        <w:rPr>
          <w:sz w:val="24"/>
          <w:szCs w:val="24"/>
        </w:rPr>
      </w:pPr>
      <w:r>
        <w:rPr>
          <w:sz w:val="24"/>
          <w:szCs w:val="24"/>
        </w:rPr>
        <w:t>P</w:t>
      </w:r>
      <w:r w:rsidRPr="00711C69">
        <w:rPr>
          <w:sz w:val="24"/>
          <w:szCs w:val="24"/>
        </w:rPr>
        <w:t>sychiatric hospitals</w:t>
      </w:r>
    </w:p>
    <w:p w14:paraId="2CA69752" w14:textId="77777777" w:rsidR="00792E7B" w:rsidRDefault="00792E7B" w:rsidP="00A11040">
      <w:pPr>
        <w:pStyle w:val="ListParagraph"/>
        <w:numPr>
          <w:ilvl w:val="0"/>
          <w:numId w:val="5"/>
        </w:numPr>
        <w:spacing w:after="0" w:line="240" w:lineRule="auto"/>
        <w:rPr>
          <w:sz w:val="24"/>
          <w:szCs w:val="24"/>
        </w:rPr>
      </w:pPr>
      <w:r w:rsidRPr="00711C69">
        <w:rPr>
          <w:sz w:val="24"/>
          <w:szCs w:val="24"/>
        </w:rPr>
        <w:t>Rehabilitation hospital</w:t>
      </w:r>
      <w:r>
        <w:rPr>
          <w:sz w:val="24"/>
          <w:szCs w:val="24"/>
        </w:rPr>
        <w:t>s</w:t>
      </w:r>
    </w:p>
    <w:p w14:paraId="0E07E1DC" w14:textId="77777777" w:rsidR="00792E7B" w:rsidRDefault="00792E7B" w:rsidP="00A11040">
      <w:pPr>
        <w:pStyle w:val="ListParagraph"/>
        <w:numPr>
          <w:ilvl w:val="0"/>
          <w:numId w:val="5"/>
        </w:numPr>
        <w:spacing w:after="0" w:line="240" w:lineRule="auto"/>
        <w:rPr>
          <w:sz w:val="24"/>
          <w:szCs w:val="24"/>
        </w:rPr>
      </w:pPr>
      <w:r>
        <w:rPr>
          <w:sz w:val="24"/>
          <w:szCs w:val="24"/>
        </w:rPr>
        <w:t>Hospitals outside the 50 states, the District of Columbus or Puerto Rico</w:t>
      </w:r>
    </w:p>
    <w:p w14:paraId="67E052C0" w14:textId="77777777" w:rsidR="003A4B0D" w:rsidRDefault="00792E7B" w:rsidP="00A11040">
      <w:pPr>
        <w:pStyle w:val="ListParagraph"/>
        <w:numPr>
          <w:ilvl w:val="0"/>
          <w:numId w:val="5"/>
        </w:numPr>
        <w:spacing w:after="0" w:line="240" w:lineRule="auto"/>
        <w:rPr>
          <w:sz w:val="24"/>
          <w:szCs w:val="24"/>
        </w:rPr>
      </w:pPr>
      <w:r>
        <w:rPr>
          <w:sz w:val="24"/>
          <w:szCs w:val="24"/>
        </w:rPr>
        <w:t xml:space="preserve">And others, as noted in the </w:t>
      </w:r>
      <w:r w:rsidR="00C2410D">
        <w:rPr>
          <w:sz w:val="24"/>
          <w:szCs w:val="24"/>
        </w:rPr>
        <w:t xml:space="preserve">Code of </w:t>
      </w:r>
      <w:r>
        <w:rPr>
          <w:sz w:val="24"/>
          <w:szCs w:val="24"/>
        </w:rPr>
        <w:t>Federal Reg</w:t>
      </w:r>
      <w:r w:rsidR="00C2410D">
        <w:rPr>
          <w:sz w:val="24"/>
          <w:szCs w:val="24"/>
        </w:rPr>
        <w:t xml:space="preserve">ulations. </w:t>
      </w:r>
    </w:p>
    <w:p w14:paraId="5DC7D270" w14:textId="77777777" w:rsidR="003A4B0D" w:rsidRDefault="003A4B0D" w:rsidP="003A4B0D">
      <w:pPr>
        <w:spacing w:after="0" w:line="240" w:lineRule="auto"/>
        <w:rPr>
          <w:sz w:val="24"/>
          <w:szCs w:val="24"/>
        </w:rPr>
      </w:pPr>
    </w:p>
    <w:p w14:paraId="5F7069D2" w14:textId="2A6DED57" w:rsidR="00792E7B" w:rsidRPr="003A4B0D" w:rsidRDefault="00616D7F" w:rsidP="003A4B0D">
      <w:pPr>
        <w:spacing w:after="0" w:line="240" w:lineRule="auto"/>
        <w:rPr>
          <w:sz w:val="24"/>
          <w:szCs w:val="24"/>
        </w:rPr>
      </w:pPr>
      <w:r w:rsidRPr="00616D7F">
        <w:rPr>
          <w:sz w:val="24"/>
          <w:szCs w:val="24"/>
        </w:rPr>
        <w:t xml:space="preserve">For additional details on hospitals that are excluded from Medicare’s IPPS methodology, please see </w:t>
      </w:r>
      <w:hyperlink r:id="rId16" w:history="1">
        <w:r w:rsidR="00C2410D" w:rsidRPr="00616D7F">
          <w:rPr>
            <w:rStyle w:val="Hyperlink"/>
            <w:sz w:val="24"/>
            <w:szCs w:val="24"/>
          </w:rPr>
          <w:t>42 CFR §412.23 - Excluded hospitals: Classifications</w:t>
        </w:r>
      </w:hyperlink>
      <w:r w:rsidR="00C2410D" w:rsidRPr="003A4B0D">
        <w:rPr>
          <w:sz w:val="24"/>
          <w:szCs w:val="24"/>
        </w:rPr>
        <w:t xml:space="preserve">. </w:t>
      </w:r>
    </w:p>
    <w:p w14:paraId="76988044" w14:textId="77777777" w:rsidR="00792E7B" w:rsidRDefault="00792E7B" w:rsidP="00792E7B">
      <w:pPr>
        <w:pStyle w:val="ListParagraph"/>
        <w:spacing w:after="0" w:line="240" w:lineRule="auto"/>
        <w:rPr>
          <w:sz w:val="24"/>
          <w:szCs w:val="24"/>
        </w:rPr>
      </w:pPr>
    </w:p>
    <w:p w14:paraId="537DAEE2" w14:textId="261BB74D" w:rsidR="00792E7B" w:rsidRDefault="00792E7B" w:rsidP="00792E7B">
      <w:pPr>
        <w:spacing w:after="0" w:line="240" w:lineRule="auto"/>
        <w:rPr>
          <w:sz w:val="24"/>
          <w:szCs w:val="24"/>
        </w:rPr>
      </w:pPr>
      <w:r w:rsidRPr="00680C68">
        <w:rPr>
          <w:sz w:val="24"/>
          <w:szCs w:val="24"/>
        </w:rPr>
        <w:t>IPPS exempt hospitals</w:t>
      </w:r>
      <w:r>
        <w:rPr>
          <w:sz w:val="24"/>
          <w:szCs w:val="24"/>
        </w:rPr>
        <w:t xml:space="preserve"> are reimbursed by Medicare differently than IPPS. </w:t>
      </w:r>
      <w:r w:rsidRPr="00711C69">
        <w:rPr>
          <w:sz w:val="24"/>
          <w:szCs w:val="24"/>
        </w:rPr>
        <w:t xml:space="preserve">BWC does not follow the Medicare reimbursement methodologies for IPPS exempt facilities. Instead, </w:t>
      </w:r>
      <w:r>
        <w:rPr>
          <w:sz w:val="24"/>
          <w:szCs w:val="24"/>
        </w:rPr>
        <w:t>BWC</w:t>
      </w:r>
      <w:r w:rsidRPr="00711C69">
        <w:rPr>
          <w:sz w:val="24"/>
          <w:szCs w:val="24"/>
        </w:rPr>
        <w:t xml:space="preserve"> </w:t>
      </w:r>
      <w:r w:rsidRPr="00711C69">
        <w:rPr>
          <w:sz w:val="24"/>
          <w:szCs w:val="24"/>
        </w:rPr>
        <w:lastRenderedPageBreak/>
        <w:t>reimburse</w:t>
      </w:r>
      <w:r>
        <w:rPr>
          <w:sz w:val="24"/>
          <w:szCs w:val="24"/>
        </w:rPr>
        <w:t>s</w:t>
      </w:r>
      <w:r w:rsidRPr="00711C69">
        <w:rPr>
          <w:sz w:val="24"/>
          <w:szCs w:val="24"/>
        </w:rPr>
        <w:t xml:space="preserve"> </w:t>
      </w:r>
      <w:r>
        <w:rPr>
          <w:sz w:val="24"/>
          <w:szCs w:val="24"/>
        </w:rPr>
        <w:t>t</w:t>
      </w:r>
      <w:r w:rsidRPr="00711C69">
        <w:rPr>
          <w:sz w:val="24"/>
          <w:szCs w:val="24"/>
        </w:rPr>
        <w:t>hose hospitals under our own IPPS exempt methodology</w:t>
      </w:r>
      <w:r>
        <w:rPr>
          <w:sz w:val="24"/>
          <w:szCs w:val="24"/>
        </w:rPr>
        <w:t>, which is further detailed in this document</w:t>
      </w:r>
      <w:r w:rsidR="003A4B0D">
        <w:rPr>
          <w:sz w:val="24"/>
          <w:szCs w:val="24"/>
        </w:rPr>
        <w:t xml:space="preserve"> (</w:t>
      </w:r>
      <w:r w:rsidR="00616D7F">
        <w:rPr>
          <w:sz w:val="24"/>
          <w:szCs w:val="24"/>
        </w:rPr>
        <w:t xml:space="preserve">See </w:t>
      </w:r>
      <w:r w:rsidR="003A4B0D">
        <w:rPr>
          <w:sz w:val="24"/>
          <w:szCs w:val="24"/>
        </w:rPr>
        <w:t>Methodology 2).</w:t>
      </w:r>
    </w:p>
    <w:p w14:paraId="17AAE973" w14:textId="77777777" w:rsidR="00792E7B" w:rsidRDefault="00792E7B" w:rsidP="00B905D9">
      <w:pPr>
        <w:spacing w:after="0" w:line="240" w:lineRule="auto"/>
        <w:rPr>
          <w:sz w:val="24"/>
          <w:szCs w:val="24"/>
        </w:rPr>
      </w:pPr>
    </w:p>
    <w:p w14:paraId="00027AA9" w14:textId="77777777" w:rsidR="009C7113" w:rsidRPr="00A2663C" w:rsidRDefault="009C7113" w:rsidP="00B905D9">
      <w:pPr>
        <w:spacing w:after="0" w:line="240" w:lineRule="auto"/>
        <w:rPr>
          <w:sz w:val="24"/>
          <w:szCs w:val="24"/>
          <w:u w:val="single"/>
        </w:rPr>
      </w:pPr>
      <w:r w:rsidRPr="00A2663C">
        <w:rPr>
          <w:sz w:val="24"/>
          <w:szCs w:val="24"/>
          <w:u w:val="single"/>
        </w:rPr>
        <w:t>Step 1 – Determine the BWC provider type</w:t>
      </w:r>
      <w:r w:rsidR="00274936">
        <w:rPr>
          <w:sz w:val="24"/>
          <w:szCs w:val="24"/>
          <w:u w:val="single"/>
        </w:rPr>
        <w:t xml:space="preserve"> on the bill</w:t>
      </w:r>
    </w:p>
    <w:p w14:paraId="7A285D23" w14:textId="77777777" w:rsidR="00A2663C" w:rsidRPr="00A2663C" w:rsidRDefault="00A2663C" w:rsidP="00A11040">
      <w:pPr>
        <w:pStyle w:val="ListParagraph"/>
        <w:numPr>
          <w:ilvl w:val="0"/>
          <w:numId w:val="8"/>
        </w:numPr>
        <w:spacing w:after="0" w:line="240" w:lineRule="auto"/>
        <w:rPr>
          <w:sz w:val="24"/>
          <w:szCs w:val="24"/>
        </w:rPr>
      </w:pPr>
      <w:r w:rsidRPr="00A2663C">
        <w:rPr>
          <w:sz w:val="24"/>
          <w:szCs w:val="24"/>
        </w:rPr>
        <w:t>If the hospital</w:t>
      </w:r>
      <w:r w:rsidR="00274936">
        <w:rPr>
          <w:sz w:val="24"/>
          <w:szCs w:val="24"/>
        </w:rPr>
        <w:t xml:space="preserve"> </w:t>
      </w:r>
      <w:r w:rsidRPr="00A2663C">
        <w:rPr>
          <w:sz w:val="24"/>
          <w:szCs w:val="24"/>
        </w:rPr>
        <w:t>bill</w:t>
      </w:r>
      <w:r w:rsidR="00274936">
        <w:rPr>
          <w:sz w:val="24"/>
          <w:szCs w:val="24"/>
        </w:rPr>
        <w:t>ed</w:t>
      </w:r>
      <w:r w:rsidRPr="00A2663C">
        <w:rPr>
          <w:sz w:val="24"/>
          <w:szCs w:val="24"/>
        </w:rPr>
        <w:t xml:space="preserve"> with BWC provider type 34, then </w:t>
      </w:r>
      <w:r>
        <w:rPr>
          <w:sz w:val="24"/>
          <w:szCs w:val="24"/>
        </w:rPr>
        <w:t>proceed</w:t>
      </w:r>
      <w:r w:rsidRPr="00A2663C">
        <w:rPr>
          <w:sz w:val="24"/>
          <w:szCs w:val="24"/>
        </w:rPr>
        <w:t xml:space="preserve"> to Step 2 below.</w:t>
      </w:r>
    </w:p>
    <w:p w14:paraId="798A0D4F" w14:textId="77777777" w:rsidR="00A2663C" w:rsidRPr="00A2663C" w:rsidRDefault="00A2663C" w:rsidP="00A11040">
      <w:pPr>
        <w:pStyle w:val="ListParagraph"/>
        <w:numPr>
          <w:ilvl w:val="0"/>
          <w:numId w:val="8"/>
        </w:numPr>
        <w:spacing w:after="0" w:line="240" w:lineRule="auto"/>
        <w:rPr>
          <w:sz w:val="24"/>
          <w:szCs w:val="24"/>
        </w:rPr>
      </w:pPr>
      <w:r w:rsidRPr="00A2663C">
        <w:rPr>
          <w:sz w:val="24"/>
          <w:szCs w:val="24"/>
        </w:rPr>
        <w:t>If the hospital bill</w:t>
      </w:r>
      <w:r w:rsidR="00274936">
        <w:rPr>
          <w:sz w:val="24"/>
          <w:szCs w:val="24"/>
        </w:rPr>
        <w:t>ed</w:t>
      </w:r>
      <w:r w:rsidRPr="00A2663C">
        <w:rPr>
          <w:sz w:val="24"/>
          <w:szCs w:val="24"/>
        </w:rPr>
        <w:t xml:space="preserve"> with BWC provider type 35, then payment is </w:t>
      </w:r>
      <w:r w:rsidR="008F520E">
        <w:rPr>
          <w:sz w:val="24"/>
          <w:szCs w:val="24"/>
        </w:rPr>
        <w:t>calculated under methodology 3 (</w:t>
      </w:r>
      <w:r w:rsidRPr="00A2663C">
        <w:rPr>
          <w:sz w:val="24"/>
          <w:szCs w:val="24"/>
        </w:rPr>
        <w:t>detox hospital per diem methodology</w:t>
      </w:r>
      <w:r w:rsidR="008F520E">
        <w:rPr>
          <w:sz w:val="24"/>
          <w:szCs w:val="24"/>
        </w:rPr>
        <w:t>).</w:t>
      </w:r>
    </w:p>
    <w:p w14:paraId="402D9898" w14:textId="77777777" w:rsidR="00A2663C" w:rsidRPr="00A2663C" w:rsidRDefault="00A2663C" w:rsidP="00A11040">
      <w:pPr>
        <w:pStyle w:val="ListParagraph"/>
        <w:numPr>
          <w:ilvl w:val="0"/>
          <w:numId w:val="8"/>
        </w:numPr>
        <w:spacing w:after="0" w:line="240" w:lineRule="auto"/>
        <w:rPr>
          <w:sz w:val="24"/>
          <w:szCs w:val="24"/>
        </w:rPr>
      </w:pPr>
      <w:r w:rsidRPr="00A2663C">
        <w:rPr>
          <w:sz w:val="24"/>
          <w:szCs w:val="24"/>
        </w:rPr>
        <w:t xml:space="preserve">If the hospital </w:t>
      </w:r>
      <w:r w:rsidR="00274936">
        <w:rPr>
          <w:sz w:val="24"/>
          <w:szCs w:val="24"/>
        </w:rPr>
        <w:t xml:space="preserve">billed </w:t>
      </w:r>
      <w:r w:rsidRPr="00A2663C">
        <w:rPr>
          <w:sz w:val="24"/>
          <w:szCs w:val="24"/>
        </w:rPr>
        <w:t xml:space="preserve">with BWC provider type is 36 (psychiatric hospital) or 37 (rehabilitation hospital), </w:t>
      </w:r>
      <w:r w:rsidR="008F520E">
        <w:rPr>
          <w:sz w:val="24"/>
          <w:szCs w:val="24"/>
        </w:rPr>
        <w:t>then payment is calculated under methodology 2 (IPPS-exempt methodology).</w:t>
      </w:r>
    </w:p>
    <w:p w14:paraId="3043D3AA" w14:textId="77777777" w:rsidR="00A2663C" w:rsidRDefault="00A2663C" w:rsidP="00B905D9">
      <w:pPr>
        <w:spacing w:after="0" w:line="240" w:lineRule="auto"/>
        <w:rPr>
          <w:sz w:val="24"/>
          <w:szCs w:val="24"/>
        </w:rPr>
      </w:pPr>
    </w:p>
    <w:p w14:paraId="351BEF6F" w14:textId="77777777" w:rsidR="00A2663C" w:rsidRPr="00A2663C" w:rsidRDefault="00A2663C" w:rsidP="00A2663C">
      <w:pPr>
        <w:spacing w:after="0" w:line="240" w:lineRule="auto"/>
        <w:rPr>
          <w:sz w:val="24"/>
          <w:szCs w:val="24"/>
          <w:u w:val="single"/>
        </w:rPr>
      </w:pPr>
      <w:r w:rsidRPr="00A2663C">
        <w:rPr>
          <w:sz w:val="24"/>
          <w:szCs w:val="24"/>
          <w:u w:val="single"/>
        </w:rPr>
        <w:t>Step 2 – Determine if the hospital is IPPS eligible or IPPS exempt</w:t>
      </w:r>
    </w:p>
    <w:p w14:paraId="0BBD4487" w14:textId="77777777" w:rsidR="00A2663C" w:rsidRDefault="00A2663C" w:rsidP="00A11040">
      <w:pPr>
        <w:pStyle w:val="ListParagraph"/>
        <w:numPr>
          <w:ilvl w:val="0"/>
          <w:numId w:val="9"/>
        </w:numPr>
        <w:spacing w:after="0" w:line="240" w:lineRule="auto"/>
        <w:rPr>
          <w:sz w:val="24"/>
          <w:szCs w:val="24"/>
        </w:rPr>
      </w:pPr>
      <w:r>
        <w:rPr>
          <w:sz w:val="24"/>
          <w:szCs w:val="24"/>
        </w:rPr>
        <w:t>If the hospital is IPPS-eligible under Medicare, then payment is</w:t>
      </w:r>
      <w:r w:rsidR="008F520E">
        <w:rPr>
          <w:sz w:val="24"/>
          <w:szCs w:val="24"/>
        </w:rPr>
        <w:t xml:space="preserve"> calculated under</w:t>
      </w:r>
      <w:r>
        <w:rPr>
          <w:sz w:val="24"/>
          <w:szCs w:val="24"/>
        </w:rPr>
        <w:t xml:space="preserve"> methodology 1 (IPPS-based methodology).</w:t>
      </w:r>
    </w:p>
    <w:p w14:paraId="76FAA24A" w14:textId="77777777" w:rsidR="00A2663C" w:rsidRPr="00A2663C" w:rsidRDefault="00A2663C" w:rsidP="00A11040">
      <w:pPr>
        <w:pStyle w:val="ListParagraph"/>
        <w:numPr>
          <w:ilvl w:val="0"/>
          <w:numId w:val="9"/>
        </w:numPr>
        <w:spacing w:after="0" w:line="240" w:lineRule="auto"/>
        <w:rPr>
          <w:sz w:val="24"/>
          <w:szCs w:val="24"/>
        </w:rPr>
      </w:pPr>
      <w:r>
        <w:rPr>
          <w:sz w:val="24"/>
          <w:szCs w:val="24"/>
        </w:rPr>
        <w:t xml:space="preserve">If the hospital is IPPS-exempt under Medicare, then payment is </w:t>
      </w:r>
      <w:r w:rsidR="008F520E">
        <w:rPr>
          <w:sz w:val="24"/>
          <w:szCs w:val="24"/>
        </w:rPr>
        <w:t>calculated under methodology 2 (</w:t>
      </w:r>
      <w:r>
        <w:rPr>
          <w:sz w:val="24"/>
          <w:szCs w:val="24"/>
        </w:rPr>
        <w:t>IPPS-exempt methodology</w:t>
      </w:r>
      <w:r w:rsidR="008F520E">
        <w:rPr>
          <w:sz w:val="24"/>
          <w:szCs w:val="24"/>
        </w:rPr>
        <w:t>).</w:t>
      </w:r>
    </w:p>
    <w:p w14:paraId="0830FA61" w14:textId="77777777" w:rsidR="00A2663C" w:rsidRDefault="00A2663C" w:rsidP="00B905D9">
      <w:pPr>
        <w:spacing w:after="0" w:line="240" w:lineRule="auto"/>
        <w:rPr>
          <w:sz w:val="24"/>
          <w:szCs w:val="24"/>
        </w:rPr>
      </w:pPr>
    </w:p>
    <w:p w14:paraId="5A021AB4" w14:textId="77777777" w:rsidR="00A2663C" w:rsidRDefault="00A2663C" w:rsidP="00B905D9">
      <w:pPr>
        <w:spacing w:after="0" w:line="240" w:lineRule="auto"/>
        <w:rPr>
          <w:sz w:val="24"/>
          <w:szCs w:val="24"/>
        </w:rPr>
      </w:pPr>
    </w:p>
    <w:p w14:paraId="1DC73F76" w14:textId="77777777" w:rsidR="00A2663C" w:rsidRDefault="00A2663C" w:rsidP="00B905D9">
      <w:pPr>
        <w:spacing w:after="0" w:line="240" w:lineRule="auto"/>
        <w:rPr>
          <w:sz w:val="24"/>
          <w:szCs w:val="24"/>
        </w:rPr>
      </w:pPr>
    </w:p>
    <w:p w14:paraId="7FDA640F" w14:textId="77777777" w:rsidR="009C7113" w:rsidRDefault="009C7113" w:rsidP="00B905D9">
      <w:pPr>
        <w:spacing w:after="0" w:line="240" w:lineRule="auto"/>
        <w:rPr>
          <w:sz w:val="24"/>
          <w:szCs w:val="24"/>
        </w:rPr>
      </w:pPr>
    </w:p>
    <w:p w14:paraId="783D9D9D" w14:textId="77777777" w:rsidR="00B379F3" w:rsidRDefault="00B379F3" w:rsidP="00680C68">
      <w:pPr>
        <w:spacing w:after="0" w:line="240" w:lineRule="auto"/>
        <w:rPr>
          <w:sz w:val="24"/>
          <w:szCs w:val="24"/>
        </w:rPr>
      </w:pPr>
    </w:p>
    <w:p w14:paraId="6ED48E23" w14:textId="77777777" w:rsidR="0083089A" w:rsidRDefault="0083089A">
      <w:pPr>
        <w:rPr>
          <w:rFonts w:asciiTheme="majorHAnsi" w:eastAsiaTheme="majorEastAsia" w:hAnsiTheme="majorHAnsi" w:cstheme="majorBidi"/>
          <w:color w:val="2F5496" w:themeColor="accent1" w:themeShade="BF"/>
          <w:sz w:val="32"/>
          <w:szCs w:val="32"/>
        </w:rPr>
      </w:pPr>
      <w:r>
        <w:br w:type="page"/>
      </w:r>
    </w:p>
    <w:p w14:paraId="6B5DC987" w14:textId="61DAD608" w:rsidR="005B087F" w:rsidRPr="00D4120F" w:rsidRDefault="00DA0FEF" w:rsidP="00A963BB">
      <w:pPr>
        <w:pStyle w:val="Heading1"/>
        <w:spacing w:before="0"/>
        <w:rPr>
          <w:b/>
        </w:rPr>
      </w:pPr>
      <w:bookmarkStart w:id="7" w:name="_Toc56580518"/>
      <w:r w:rsidRPr="00D4120F">
        <w:rPr>
          <w:b/>
        </w:rPr>
        <w:lastRenderedPageBreak/>
        <w:t xml:space="preserve">Methodology </w:t>
      </w:r>
      <w:r w:rsidR="00DA6DD1" w:rsidRPr="00D4120F">
        <w:rPr>
          <w:b/>
        </w:rPr>
        <w:t>1</w:t>
      </w:r>
      <w:r w:rsidRPr="00D4120F">
        <w:rPr>
          <w:b/>
        </w:rPr>
        <w:t xml:space="preserve">: </w:t>
      </w:r>
      <w:r w:rsidR="00F828C9" w:rsidRPr="00D4120F">
        <w:rPr>
          <w:b/>
        </w:rPr>
        <w:t xml:space="preserve">BWC Reimbursement for </w:t>
      </w:r>
      <w:r w:rsidR="001409CF" w:rsidRPr="00D4120F">
        <w:rPr>
          <w:b/>
        </w:rPr>
        <w:t xml:space="preserve">Medicare </w:t>
      </w:r>
      <w:r w:rsidR="005B087F" w:rsidRPr="00D4120F">
        <w:rPr>
          <w:b/>
        </w:rPr>
        <w:t>IPPS-</w:t>
      </w:r>
      <w:r w:rsidR="00E3398A">
        <w:rPr>
          <w:b/>
        </w:rPr>
        <w:t>Eligible</w:t>
      </w:r>
      <w:r w:rsidR="00E3398A" w:rsidRPr="00D4120F">
        <w:rPr>
          <w:b/>
        </w:rPr>
        <w:t xml:space="preserve"> </w:t>
      </w:r>
      <w:r w:rsidR="00F828C9" w:rsidRPr="00D4120F">
        <w:rPr>
          <w:b/>
        </w:rPr>
        <w:t>Hospitals</w:t>
      </w:r>
      <w:bookmarkEnd w:id="7"/>
    </w:p>
    <w:p w14:paraId="080920C7" w14:textId="77777777" w:rsidR="005B087F" w:rsidRDefault="005B087F" w:rsidP="00A963BB">
      <w:pPr>
        <w:spacing w:after="0"/>
      </w:pPr>
    </w:p>
    <w:tbl>
      <w:tblPr>
        <w:tblW w:w="9360" w:type="dxa"/>
        <w:tblInd w:w="80" w:type="dxa"/>
        <w:tblCellMar>
          <w:left w:w="0" w:type="dxa"/>
          <w:right w:w="0" w:type="dxa"/>
        </w:tblCellMar>
        <w:tblLook w:val="04A0" w:firstRow="1" w:lastRow="0" w:firstColumn="1" w:lastColumn="0" w:noHBand="0" w:noVBand="1"/>
      </w:tblPr>
      <w:tblGrid>
        <w:gridCol w:w="1440"/>
        <w:gridCol w:w="2520"/>
        <w:gridCol w:w="5400"/>
      </w:tblGrid>
      <w:tr w:rsidR="002210BC" w:rsidRPr="00473993" w14:paraId="01C7C5FF" w14:textId="77777777" w:rsidTr="002210BC">
        <w:trPr>
          <w:trHeight w:val="694"/>
        </w:trPr>
        <w:tc>
          <w:tcPr>
            <w:tcW w:w="1440" w:type="dxa"/>
            <w:tcBorders>
              <w:top w:val="single" w:sz="8" w:space="0" w:color="FFFFFF"/>
              <w:left w:val="single" w:sz="8" w:space="0" w:color="FFFFFF"/>
              <w:bottom w:val="single" w:sz="24" w:space="0" w:color="FFFFFF"/>
              <w:right w:val="single" w:sz="8" w:space="0" w:color="FFFFFF"/>
            </w:tcBorders>
            <w:shd w:val="clear" w:color="auto" w:fill="7AABDE"/>
          </w:tcPr>
          <w:p w14:paraId="613B38F3" w14:textId="77777777" w:rsidR="002210BC" w:rsidRPr="00473993" w:rsidRDefault="002210BC" w:rsidP="002210BC">
            <w:pPr>
              <w:spacing w:after="0" w:line="240" w:lineRule="auto"/>
              <w:jc w:val="center"/>
              <w:rPr>
                <w:b/>
                <w:bCs/>
                <w:sz w:val="24"/>
                <w:szCs w:val="24"/>
              </w:rPr>
            </w:pPr>
            <w:r>
              <w:rPr>
                <w:b/>
                <w:bCs/>
                <w:sz w:val="24"/>
                <w:szCs w:val="24"/>
              </w:rPr>
              <w:t>Methodology</w:t>
            </w:r>
          </w:p>
        </w:tc>
        <w:tc>
          <w:tcPr>
            <w:tcW w:w="2520" w:type="dxa"/>
            <w:tcBorders>
              <w:top w:val="single" w:sz="8" w:space="0" w:color="FFFFFF"/>
              <w:left w:val="single" w:sz="8" w:space="0" w:color="FFFFFF"/>
              <w:bottom w:val="single" w:sz="24" w:space="0" w:color="FFFFFF"/>
              <w:right w:val="single" w:sz="8" w:space="0" w:color="FFFFFF"/>
            </w:tcBorders>
            <w:shd w:val="clear" w:color="auto" w:fill="7AABDE"/>
            <w:tcMar>
              <w:top w:w="15" w:type="dxa"/>
              <w:left w:w="15" w:type="dxa"/>
              <w:bottom w:w="0" w:type="dxa"/>
              <w:right w:w="15" w:type="dxa"/>
            </w:tcMar>
            <w:hideMark/>
          </w:tcPr>
          <w:p w14:paraId="3804A722" w14:textId="77777777" w:rsidR="002210BC" w:rsidRPr="00473993" w:rsidRDefault="002210BC" w:rsidP="002210BC">
            <w:pPr>
              <w:spacing w:after="0" w:line="240" w:lineRule="auto"/>
              <w:jc w:val="center"/>
              <w:rPr>
                <w:sz w:val="24"/>
                <w:szCs w:val="24"/>
              </w:rPr>
            </w:pPr>
            <w:r w:rsidRPr="00473993">
              <w:rPr>
                <w:b/>
                <w:bCs/>
                <w:sz w:val="24"/>
                <w:szCs w:val="24"/>
              </w:rPr>
              <w:t xml:space="preserve">BWC </w:t>
            </w:r>
            <w:r>
              <w:rPr>
                <w:b/>
                <w:bCs/>
                <w:sz w:val="24"/>
                <w:szCs w:val="24"/>
              </w:rPr>
              <w:t xml:space="preserve">Methodology Description </w:t>
            </w:r>
          </w:p>
        </w:tc>
        <w:tc>
          <w:tcPr>
            <w:tcW w:w="5400" w:type="dxa"/>
            <w:tcBorders>
              <w:top w:val="single" w:sz="8" w:space="0" w:color="FFFFFF"/>
              <w:left w:val="single" w:sz="8" w:space="0" w:color="FFFFFF"/>
              <w:bottom w:val="single" w:sz="24" w:space="0" w:color="FFFFFF"/>
              <w:right w:val="single" w:sz="8" w:space="0" w:color="FFFFFF"/>
            </w:tcBorders>
            <w:shd w:val="clear" w:color="auto" w:fill="7AABDE"/>
            <w:tcMar>
              <w:top w:w="15" w:type="dxa"/>
              <w:left w:w="108" w:type="dxa"/>
              <w:bottom w:w="0" w:type="dxa"/>
              <w:right w:w="108" w:type="dxa"/>
            </w:tcMar>
            <w:hideMark/>
          </w:tcPr>
          <w:p w14:paraId="258C8990" w14:textId="77777777" w:rsidR="002210BC" w:rsidRPr="00473993" w:rsidRDefault="002210BC" w:rsidP="002210BC">
            <w:pPr>
              <w:spacing w:after="0" w:line="240" w:lineRule="auto"/>
              <w:jc w:val="center"/>
              <w:rPr>
                <w:sz w:val="24"/>
                <w:szCs w:val="24"/>
              </w:rPr>
            </w:pPr>
            <w:r w:rsidRPr="00473993">
              <w:rPr>
                <w:b/>
                <w:bCs/>
                <w:sz w:val="24"/>
                <w:szCs w:val="24"/>
              </w:rPr>
              <w:t>BWC Enrollment Type and</w:t>
            </w:r>
          </w:p>
          <w:p w14:paraId="1B86145C" w14:textId="77777777" w:rsidR="002210BC" w:rsidRPr="00473993" w:rsidRDefault="002210BC" w:rsidP="002210BC">
            <w:pPr>
              <w:spacing w:after="0" w:line="240" w:lineRule="auto"/>
              <w:jc w:val="center"/>
              <w:rPr>
                <w:sz w:val="24"/>
                <w:szCs w:val="24"/>
              </w:rPr>
            </w:pPr>
            <w:r w:rsidRPr="00473993">
              <w:rPr>
                <w:b/>
                <w:bCs/>
                <w:sz w:val="24"/>
                <w:szCs w:val="24"/>
              </w:rPr>
              <w:t>Medicare IPPS Status</w:t>
            </w:r>
          </w:p>
        </w:tc>
      </w:tr>
      <w:tr w:rsidR="002210BC" w:rsidRPr="00473993" w14:paraId="58F101DC" w14:textId="77777777" w:rsidTr="002210BC">
        <w:trPr>
          <w:trHeight w:val="627"/>
        </w:trPr>
        <w:tc>
          <w:tcPr>
            <w:tcW w:w="1440" w:type="dxa"/>
            <w:tcBorders>
              <w:top w:val="single" w:sz="24" w:space="0" w:color="FFFFFF"/>
              <w:left w:val="single" w:sz="8" w:space="0" w:color="FFFFFF"/>
              <w:bottom w:val="single" w:sz="8" w:space="0" w:color="FFFFFF"/>
              <w:right w:val="single" w:sz="8" w:space="0" w:color="FFFFFF"/>
            </w:tcBorders>
            <w:shd w:val="clear" w:color="auto" w:fill="CADDF2"/>
          </w:tcPr>
          <w:p w14:paraId="6803806E" w14:textId="77777777" w:rsidR="002210BC" w:rsidRPr="00473993" w:rsidRDefault="002210BC" w:rsidP="002210BC">
            <w:pPr>
              <w:spacing w:after="0" w:line="240" w:lineRule="auto"/>
              <w:jc w:val="center"/>
              <w:rPr>
                <w:sz w:val="24"/>
                <w:szCs w:val="24"/>
              </w:rPr>
            </w:pPr>
            <w:r>
              <w:rPr>
                <w:sz w:val="24"/>
                <w:szCs w:val="24"/>
              </w:rPr>
              <w:t>1</w:t>
            </w:r>
          </w:p>
        </w:tc>
        <w:tc>
          <w:tcPr>
            <w:tcW w:w="2520" w:type="dxa"/>
            <w:tcBorders>
              <w:top w:val="single" w:sz="24" w:space="0" w:color="FFFFFF"/>
              <w:left w:val="single" w:sz="8" w:space="0" w:color="FFFFFF"/>
              <w:bottom w:val="single" w:sz="8" w:space="0" w:color="FFFFFF"/>
              <w:right w:val="single" w:sz="8" w:space="0" w:color="FFFFFF"/>
            </w:tcBorders>
            <w:shd w:val="clear" w:color="auto" w:fill="CADDF2"/>
            <w:tcMar>
              <w:top w:w="15" w:type="dxa"/>
              <w:left w:w="15" w:type="dxa"/>
              <w:bottom w:w="0" w:type="dxa"/>
              <w:right w:w="15" w:type="dxa"/>
            </w:tcMar>
            <w:hideMark/>
          </w:tcPr>
          <w:p w14:paraId="6962F006" w14:textId="77777777" w:rsidR="002210BC" w:rsidRPr="00473993" w:rsidRDefault="002210BC" w:rsidP="002210BC">
            <w:pPr>
              <w:spacing w:after="0" w:line="240" w:lineRule="auto"/>
              <w:rPr>
                <w:sz w:val="24"/>
                <w:szCs w:val="24"/>
              </w:rPr>
            </w:pPr>
            <w:r w:rsidRPr="00473993">
              <w:rPr>
                <w:sz w:val="24"/>
                <w:szCs w:val="24"/>
              </w:rPr>
              <w:t xml:space="preserve">Medicare </w:t>
            </w:r>
            <w:r>
              <w:rPr>
                <w:sz w:val="24"/>
                <w:szCs w:val="24"/>
              </w:rPr>
              <w:t>IPPS-</w:t>
            </w:r>
            <w:r w:rsidRPr="00473993">
              <w:rPr>
                <w:sz w:val="24"/>
                <w:szCs w:val="24"/>
              </w:rPr>
              <w:t>based methodology</w:t>
            </w:r>
            <w:r>
              <w:rPr>
                <w:sz w:val="24"/>
                <w:szCs w:val="24"/>
              </w:rPr>
              <w:t xml:space="preserve"> </w:t>
            </w:r>
          </w:p>
        </w:tc>
        <w:tc>
          <w:tcPr>
            <w:tcW w:w="5400" w:type="dxa"/>
            <w:tcBorders>
              <w:top w:val="single" w:sz="24" w:space="0" w:color="FFFFFF"/>
              <w:left w:val="single" w:sz="8" w:space="0" w:color="FFFFFF"/>
              <w:bottom w:val="single" w:sz="8" w:space="0" w:color="FFFFFF"/>
              <w:right w:val="single" w:sz="8" w:space="0" w:color="FFFFFF"/>
            </w:tcBorders>
            <w:shd w:val="clear" w:color="auto" w:fill="CADDF2"/>
            <w:tcMar>
              <w:top w:w="15" w:type="dxa"/>
              <w:left w:w="108" w:type="dxa"/>
              <w:bottom w:w="0" w:type="dxa"/>
              <w:right w:w="108" w:type="dxa"/>
            </w:tcMar>
            <w:hideMark/>
          </w:tcPr>
          <w:p w14:paraId="139F14E3" w14:textId="77777777" w:rsidR="002210BC" w:rsidRPr="00473993" w:rsidRDefault="002210BC" w:rsidP="002210BC">
            <w:pPr>
              <w:spacing w:after="0" w:line="240" w:lineRule="auto"/>
              <w:rPr>
                <w:sz w:val="24"/>
                <w:szCs w:val="24"/>
              </w:rPr>
            </w:pPr>
            <w:r w:rsidRPr="00473993">
              <w:rPr>
                <w:sz w:val="24"/>
                <w:szCs w:val="24"/>
              </w:rPr>
              <w:t>Type 34 – Acute care hospital and Medicare IPPS eligible</w:t>
            </w:r>
          </w:p>
        </w:tc>
      </w:tr>
    </w:tbl>
    <w:p w14:paraId="30E13402" w14:textId="77777777" w:rsidR="002210BC" w:rsidRDefault="002210BC" w:rsidP="00A963BB">
      <w:pPr>
        <w:spacing w:after="0"/>
      </w:pPr>
    </w:p>
    <w:p w14:paraId="4A94F775" w14:textId="77777777" w:rsidR="00274936" w:rsidRPr="00274936" w:rsidRDefault="00274936" w:rsidP="00274936">
      <w:pPr>
        <w:pStyle w:val="Heading2"/>
      </w:pPr>
      <w:bookmarkStart w:id="8" w:name="_Toc56580519"/>
      <w:r w:rsidRPr="00274936">
        <w:t>A.</w:t>
      </w:r>
      <w:r>
        <w:t xml:space="preserve"> Background</w:t>
      </w:r>
      <w:bookmarkEnd w:id="8"/>
    </w:p>
    <w:p w14:paraId="4FE62F53" w14:textId="77777777" w:rsidR="00B640A6" w:rsidRDefault="00386ABE" w:rsidP="007C6C6B">
      <w:pPr>
        <w:pStyle w:val="Default"/>
        <w:jc w:val="both"/>
      </w:pPr>
      <w:r>
        <w:t xml:space="preserve">For </w:t>
      </w:r>
      <w:r w:rsidR="00FE5AB4">
        <w:t xml:space="preserve">the majority of </w:t>
      </w:r>
      <w:r>
        <w:t>inpatient services provided to Ohio’s injured workers, hospitals</w:t>
      </w:r>
      <w:r w:rsidR="00B905D9">
        <w:t xml:space="preserve"> are paid under</w:t>
      </w:r>
      <w:r w:rsidR="005107BC">
        <w:t xml:space="preserve"> a modified version of</w:t>
      </w:r>
      <w:r w:rsidR="00B905D9">
        <w:t xml:space="preserve"> </w:t>
      </w:r>
      <w:r w:rsidR="005107BC">
        <w:t>Medicare’s inpatient prospective payment system (IPPS) m</w:t>
      </w:r>
      <w:r w:rsidR="00B905D9" w:rsidRPr="00B905D9">
        <w:t>ethodology</w:t>
      </w:r>
      <w:r w:rsidR="00B905D9">
        <w:t xml:space="preserve">. </w:t>
      </w:r>
      <w:r>
        <w:t xml:space="preserve"> </w:t>
      </w:r>
      <w:r w:rsidR="00B640A6">
        <w:t xml:space="preserve">A </w:t>
      </w:r>
      <w:r w:rsidR="00B640A6" w:rsidRPr="00127171">
        <w:t>key benefit of th</w:t>
      </w:r>
      <w:r w:rsidR="00B640A6">
        <w:t>e IPPS</w:t>
      </w:r>
      <w:r w:rsidR="00B640A6" w:rsidRPr="00127171">
        <w:t xml:space="preserve"> methodology is that all facilities experience consistent and equitable reimbursement for services rendered during the effective period.  Further, under the prospective payment system, providers are encouraged to practice cost containment. Rates being established in advance provide facilities the data they can use to determine the best mix of their resources to achieve established budget goals without foregoing the provision of quality services. </w:t>
      </w:r>
    </w:p>
    <w:p w14:paraId="4CB26B9A" w14:textId="77777777" w:rsidR="00B640A6" w:rsidRDefault="00B640A6" w:rsidP="007C6C6B">
      <w:pPr>
        <w:pStyle w:val="Default"/>
        <w:jc w:val="both"/>
      </w:pPr>
    </w:p>
    <w:p w14:paraId="73D6D4B9" w14:textId="41E2B116" w:rsidR="004253DF" w:rsidRDefault="00B905D9" w:rsidP="007C6C6B">
      <w:pPr>
        <w:pStyle w:val="Default"/>
        <w:jc w:val="both"/>
        <w:rPr>
          <w:lang w:val="en"/>
        </w:rPr>
      </w:pPr>
      <w:r>
        <w:t>Th</w:t>
      </w:r>
      <w:r w:rsidR="003E38E0">
        <w:t>e IPPS</w:t>
      </w:r>
      <w:r>
        <w:t xml:space="preserve"> methodology is utilized by Medicare </w:t>
      </w:r>
      <w:r w:rsidR="00220611">
        <w:rPr>
          <w:lang w:val="en"/>
        </w:rPr>
        <w:t xml:space="preserve">and certain private health insurance companies </w:t>
      </w:r>
      <w:r w:rsidR="005107BC">
        <w:rPr>
          <w:lang w:val="en"/>
        </w:rPr>
        <w:t xml:space="preserve">to </w:t>
      </w:r>
      <w:r w:rsidR="00220611">
        <w:rPr>
          <w:lang w:val="en"/>
        </w:rPr>
        <w:t xml:space="preserve">pay for hospitalizations using a </w:t>
      </w:r>
      <w:r w:rsidR="005107BC">
        <w:rPr>
          <w:lang w:val="en"/>
        </w:rPr>
        <w:t xml:space="preserve">Medicare severity </w:t>
      </w:r>
      <w:r w:rsidR="00220611">
        <w:rPr>
          <w:lang w:val="en"/>
        </w:rPr>
        <w:t>diagnosis-related group</w:t>
      </w:r>
      <w:r w:rsidR="005107BC">
        <w:rPr>
          <w:lang w:val="en"/>
        </w:rPr>
        <w:t xml:space="preserve"> (MS-DRG or </w:t>
      </w:r>
      <w:r w:rsidR="004A4A31">
        <w:rPr>
          <w:lang w:val="en"/>
        </w:rPr>
        <w:t>abbreviated, “</w:t>
      </w:r>
      <w:r w:rsidR="005107BC">
        <w:rPr>
          <w:lang w:val="en"/>
        </w:rPr>
        <w:t>DRG</w:t>
      </w:r>
      <w:r w:rsidR="004A4A31">
        <w:rPr>
          <w:lang w:val="en"/>
        </w:rPr>
        <w:t>”</w:t>
      </w:r>
      <w:r w:rsidR="005107BC">
        <w:rPr>
          <w:lang w:val="en"/>
        </w:rPr>
        <w:t>) payment system</w:t>
      </w:r>
      <w:r w:rsidR="00220611">
        <w:rPr>
          <w:lang w:val="en"/>
        </w:rPr>
        <w:t xml:space="preserve">. </w:t>
      </w:r>
      <w:r w:rsidR="005107BC">
        <w:rPr>
          <w:lang w:val="en"/>
        </w:rPr>
        <w:t xml:space="preserve">This system utilizes </w:t>
      </w:r>
      <w:r w:rsidR="004253DF">
        <w:rPr>
          <w:lang w:val="en"/>
        </w:rPr>
        <w:t>both patient or case-specific data and also hospital-specific data to calculate reimbursement.</w:t>
      </w:r>
      <w:r w:rsidR="007C1ED6">
        <w:rPr>
          <w:lang w:val="en"/>
        </w:rPr>
        <w:t xml:space="preserve"> </w:t>
      </w:r>
      <w:r w:rsidR="00A07C16">
        <w:rPr>
          <w:lang w:val="en"/>
        </w:rPr>
        <w:t xml:space="preserve">Find the Medicare IPPS fact sheet with payment formula descriptions </w:t>
      </w:r>
      <w:hyperlink r:id="rId17" w:history="1">
        <w:r w:rsidR="00A07C16">
          <w:rPr>
            <w:rStyle w:val="Hyperlink"/>
            <w:lang w:val="en"/>
          </w:rPr>
          <w:t>here.</w:t>
        </w:r>
      </w:hyperlink>
      <w:r w:rsidR="00A07C16">
        <w:rPr>
          <w:lang w:val="en"/>
        </w:rPr>
        <w:t xml:space="preserve"> </w:t>
      </w:r>
      <w:r w:rsidR="007C1ED6">
        <w:rPr>
          <w:lang w:val="en"/>
        </w:rPr>
        <w:t>Some of the key concepts of IPPS are summarized below.</w:t>
      </w:r>
    </w:p>
    <w:p w14:paraId="13ABBEFC" w14:textId="77777777" w:rsidR="0073431C" w:rsidRDefault="0073431C" w:rsidP="007C6C6B">
      <w:pPr>
        <w:pStyle w:val="Default"/>
        <w:jc w:val="both"/>
        <w:rPr>
          <w:lang w:val="en"/>
        </w:rPr>
      </w:pPr>
    </w:p>
    <w:p w14:paraId="3ECA941A" w14:textId="77777777" w:rsidR="00043BA7" w:rsidRPr="00043BA7" w:rsidRDefault="00FE5AB4" w:rsidP="00A11040">
      <w:pPr>
        <w:pStyle w:val="Default"/>
        <w:numPr>
          <w:ilvl w:val="0"/>
          <w:numId w:val="14"/>
        </w:numPr>
        <w:jc w:val="both"/>
        <w:rPr>
          <w:b/>
          <w:lang w:val="en"/>
        </w:rPr>
      </w:pPr>
      <w:r>
        <w:rPr>
          <w:b/>
          <w:lang w:val="en"/>
        </w:rPr>
        <w:t>Medicare Severity Diagnosis Related Groups (MS-</w:t>
      </w:r>
      <w:r w:rsidR="00043BA7">
        <w:rPr>
          <w:b/>
          <w:lang w:val="en"/>
        </w:rPr>
        <w:t>DRGs</w:t>
      </w:r>
      <w:r>
        <w:rPr>
          <w:b/>
          <w:lang w:val="en"/>
        </w:rPr>
        <w:t>)</w:t>
      </w:r>
    </w:p>
    <w:p w14:paraId="7CA07904" w14:textId="5D4008E3" w:rsidR="005107BC" w:rsidRDefault="004253DF" w:rsidP="002B462D">
      <w:pPr>
        <w:pStyle w:val="Default"/>
        <w:ind w:left="360"/>
        <w:jc w:val="both"/>
        <w:rPr>
          <w:lang w:val="en"/>
        </w:rPr>
      </w:pPr>
      <w:r>
        <w:rPr>
          <w:lang w:val="en"/>
        </w:rPr>
        <w:t>A</w:t>
      </w:r>
      <w:r w:rsidR="005107BC">
        <w:rPr>
          <w:lang w:val="en"/>
        </w:rPr>
        <w:t xml:space="preserve"> patient’s diagnoses</w:t>
      </w:r>
      <w:r>
        <w:rPr>
          <w:lang w:val="en"/>
        </w:rPr>
        <w:t xml:space="preserve">, </w:t>
      </w:r>
      <w:r w:rsidR="005107BC">
        <w:rPr>
          <w:lang w:val="en"/>
        </w:rPr>
        <w:t xml:space="preserve">procedures </w:t>
      </w:r>
      <w:r>
        <w:rPr>
          <w:lang w:val="en"/>
        </w:rPr>
        <w:t xml:space="preserve">performed during the admission </w:t>
      </w:r>
      <w:r w:rsidR="005107BC">
        <w:rPr>
          <w:lang w:val="en"/>
        </w:rPr>
        <w:t>and other</w:t>
      </w:r>
      <w:r w:rsidR="003E38E0">
        <w:rPr>
          <w:lang w:val="en"/>
        </w:rPr>
        <w:t xml:space="preserve"> </w:t>
      </w:r>
      <w:r w:rsidR="00386ABE">
        <w:rPr>
          <w:lang w:val="en"/>
        </w:rPr>
        <w:t>case</w:t>
      </w:r>
      <w:r w:rsidR="003E38E0">
        <w:rPr>
          <w:lang w:val="en"/>
        </w:rPr>
        <w:t>-specific</w:t>
      </w:r>
      <w:r w:rsidR="005107BC">
        <w:rPr>
          <w:lang w:val="en"/>
        </w:rPr>
        <w:t xml:space="preserve"> </w:t>
      </w:r>
      <w:r w:rsidR="00386ABE">
        <w:rPr>
          <w:lang w:val="en"/>
        </w:rPr>
        <w:t>data elements</w:t>
      </w:r>
      <w:r w:rsidR="005107BC">
        <w:rPr>
          <w:lang w:val="en"/>
        </w:rPr>
        <w:t xml:space="preserve"> to classify the episode of care into a </w:t>
      </w:r>
      <w:r w:rsidR="00FE5AB4">
        <w:rPr>
          <w:lang w:val="en"/>
        </w:rPr>
        <w:t>MS-</w:t>
      </w:r>
      <w:r w:rsidR="005107BC">
        <w:rPr>
          <w:lang w:val="en"/>
        </w:rPr>
        <w:t>DRG group. These group classifications</w:t>
      </w:r>
      <w:r w:rsidR="003E38E0">
        <w:rPr>
          <w:lang w:val="en"/>
        </w:rPr>
        <w:t>, and associated relative weights, are</w:t>
      </w:r>
      <w:r w:rsidR="005107BC">
        <w:rPr>
          <w:lang w:val="en"/>
        </w:rPr>
        <w:t xml:space="preserve"> one of the factors used to calculate</w:t>
      </w:r>
      <w:r>
        <w:rPr>
          <w:lang w:val="en"/>
        </w:rPr>
        <w:t xml:space="preserve"> the Medicare </w:t>
      </w:r>
      <w:r w:rsidR="005107BC">
        <w:rPr>
          <w:lang w:val="en"/>
        </w:rPr>
        <w:t xml:space="preserve"> reimbursement</w:t>
      </w:r>
      <w:r>
        <w:rPr>
          <w:lang w:val="en"/>
        </w:rPr>
        <w:t xml:space="preserve"> rate.</w:t>
      </w:r>
      <w:r w:rsidR="004A4A31">
        <w:rPr>
          <w:lang w:val="en"/>
        </w:rPr>
        <w:t xml:space="preserve"> </w:t>
      </w:r>
      <w:r w:rsidR="00616D7F">
        <w:rPr>
          <w:lang w:val="en"/>
        </w:rPr>
        <w:t>T</w:t>
      </w:r>
      <w:r w:rsidR="004A4A31">
        <w:rPr>
          <w:lang w:val="en"/>
        </w:rPr>
        <w:t xml:space="preserve">here are </w:t>
      </w:r>
      <w:r w:rsidR="00616D7F" w:rsidRPr="00A04E33">
        <w:rPr>
          <w:lang w:val="en"/>
        </w:rPr>
        <w:t xml:space="preserve">over 700 </w:t>
      </w:r>
      <w:r w:rsidR="004A4A31" w:rsidRPr="00A04E33">
        <w:rPr>
          <w:lang w:val="en"/>
        </w:rPr>
        <w:t>d</w:t>
      </w:r>
      <w:r w:rsidR="004A4A31">
        <w:rPr>
          <w:lang w:val="en"/>
        </w:rPr>
        <w:t xml:space="preserve">ifferent </w:t>
      </w:r>
      <w:r w:rsidR="00FE5AB4">
        <w:rPr>
          <w:lang w:val="en"/>
        </w:rPr>
        <w:t>MS-</w:t>
      </w:r>
      <w:r w:rsidR="004A4A31">
        <w:rPr>
          <w:lang w:val="en"/>
        </w:rPr>
        <w:t>DRGs. Examples of</w:t>
      </w:r>
      <w:r w:rsidR="00FE5AB4">
        <w:rPr>
          <w:lang w:val="en"/>
        </w:rPr>
        <w:t xml:space="preserve"> MS-</w:t>
      </w:r>
      <w:r w:rsidR="004A4A31">
        <w:rPr>
          <w:lang w:val="en"/>
        </w:rPr>
        <w:t>DRG</w:t>
      </w:r>
      <w:r w:rsidR="009A4004">
        <w:rPr>
          <w:lang w:val="en"/>
        </w:rPr>
        <w:t xml:space="preserve">s </w:t>
      </w:r>
      <w:r w:rsidR="004A4A31">
        <w:rPr>
          <w:lang w:val="en"/>
        </w:rPr>
        <w:t>are: 47</w:t>
      </w:r>
      <w:r w:rsidR="00DD61FC">
        <w:rPr>
          <w:lang w:val="en"/>
        </w:rPr>
        <w:t>2</w:t>
      </w:r>
      <w:r w:rsidR="004A4A31">
        <w:rPr>
          <w:lang w:val="en"/>
        </w:rPr>
        <w:t xml:space="preserve"> – </w:t>
      </w:r>
      <w:r w:rsidR="00DD61FC">
        <w:rPr>
          <w:lang w:val="en"/>
        </w:rPr>
        <w:t xml:space="preserve">cervical spinal fusion with complication or co-morbid condition; and 467 – revision of hip or knee replacement with complication or co-morbid condition. </w:t>
      </w:r>
    </w:p>
    <w:p w14:paraId="334F8AE9" w14:textId="77777777" w:rsidR="00043BA7" w:rsidRDefault="00043BA7" w:rsidP="00043BA7">
      <w:pPr>
        <w:pStyle w:val="Default"/>
        <w:jc w:val="both"/>
        <w:rPr>
          <w:lang w:val="en"/>
        </w:rPr>
      </w:pPr>
    </w:p>
    <w:p w14:paraId="0D90DB3F" w14:textId="77777777" w:rsidR="00E22F23" w:rsidRPr="00E22F23" w:rsidRDefault="00E22F23" w:rsidP="00A11040">
      <w:pPr>
        <w:pStyle w:val="Default"/>
        <w:numPr>
          <w:ilvl w:val="0"/>
          <w:numId w:val="14"/>
        </w:numPr>
        <w:jc w:val="both"/>
        <w:rPr>
          <w:b/>
          <w:lang w:val="en"/>
        </w:rPr>
      </w:pPr>
      <w:r>
        <w:rPr>
          <w:b/>
          <w:lang w:val="en"/>
        </w:rPr>
        <w:t>Hospital-Specific Impacts</w:t>
      </w:r>
    </w:p>
    <w:p w14:paraId="0937C81F" w14:textId="77777777" w:rsidR="00FE5AB4" w:rsidRDefault="005107BC" w:rsidP="002B462D">
      <w:pPr>
        <w:pStyle w:val="Default"/>
        <w:spacing w:after="200"/>
        <w:ind w:left="360"/>
        <w:jc w:val="both"/>
        <w:rPr>
          <w:lang w:val="en"/>
        </w:rPr>
      </w:pPr>
      <w:r>
        <w:rPr>
          <w:lang w:val="en"/>
        </w:rPr>
        <w:t xml:space="preserve">Under this methodology, numerous </w:t>
      </w:r>
      <w:r w:rsidR="003E38E0">
        <w:rPr>
          <w:lang w:val="en"/>
        </w:rPr>
        <w:t xml:space="preserve">hospital-specific </w:t>
      </w:r>
      <w:r>
        <w:rPr>
          <w:lang w:val="en"/>
        </w:rPr>
        <w:t xml:space="preserve">factors also impact </w:t>
      </w:r>
      <w:r w:rsidR="003E38E0">
        <w:rPr>
          <w:lang w:val="en"/>
        </w:rPr>
        <w:t xml:space="preserve">the Medicare </w:t>
      </w:r>
      <w:r>
        <w:rPr>
          <w:lang w:val="en"/>
        </w:rPr>
        <w:t>reimbursement</w:t>
      </w:r>
      <w:r w:rsidR="003E38E0">
        <w:rPr>
          <w:lang w:val="en"/>
        </w:rPr>
        <w:t xml:space="preserve"> rate</w:t>
      </w:r>
      <w:r>
        <w:rPr>
          <w:lang w:val="en"/>
        </w:rPr>
        <w:t xml:space="preserve">. These factors include but are not limited to the physical location of the </w:t>
      </w:r>
      <w:r w:rsidR="003E38E0">
        <w:rPr>
          <w:lang w:val="en"/>
        </w:rPr>
        <w:t>facility</w:t>
      </w:r>
      <w:r w:rsidR="00F34A0F">
        <w:rPr>
          <w:lang w:val="en"/>
        </w:rPr>
        <w:t>;</w:t>
      </w:r>
      <w:r>
        <w:rPr>
          <w:lang w:val="en"/>
        </w:rPr>
        <w:t xml:space="preserve"> the hospital’s compliance with </w:t>
      </w:r>
      <w:r w:rsidR="00F34A0F">
        <w:rPr>
          <w:lang w:val="en"/>
        </w:rPr>
        <w:t xml:space="preserve">the </w:t>
      </w:r>
      <w:r>
        <w:rPr>
          <w:lang w:val="en"/>
        </w:rPr>
        <w:t xml:space="preserve">quality data reporting </w:t>
      </w:r>
      <w:r w:rsidR="00F34A0F">
        <w:rPr>
          <w:lang w:val="en"/>
        </w:rPr>
        <w:t>program;</w:t>
      </w:r>
      <w:r w:rsidR="003E38E0">
        <w:rPr>
          <w:lang w:val="en"/>
        </w:rPr>
        <w:t xml:space="preserve"> hospital </w:t>
      </w:r>
      <w:r>
        <w:rPr>
          <w:lang w:val="en"/>
        </w:rPr>
        <w:t>quality performance</w:t>
      </w:r>
      <w:r w:rsidR="003E38E0">
        <w:rPr>
          <w:lang w:val="en"/>
        </w:rPr>
        <w:t xml:space="preserve"> </w:t>
      </w:r>
      <w:r w:rsidR="00211486">
        <w:rPr>
          <w:lang w:val="en"/>
        </w:rPr>
        <w:t xml:space="preserve">measures </w:t>
      </w:r>
      <w:r w:rsidR="003E38E0">
        <w:rPr>
          <w:lang w:val="en"/>
        </w:rPr>
        <w:t>and cost-to-charge ratio</w:t>
      </w:r>
      <w:r w:rsidR="00F34A0F">
        <w:rPr>
          <w:lang w:val="en"/>
        </w:rPr>
        <w:t>s</w:t>
      </w:r>
      <w:r w:rsidR="003E38E0">
        <w:rPr>
          <w:lang w:val="en"/>
        </w:rPr>
        <w:t xml:space="preserve"> (CCR).</w:t>
      </w:r>
      <w:r w:rsidR="00F34A0F">
        <w:rPr>
          <w:lang w:val="en"/>
        </w:rPr>
        <w:t xml:space="preserve"> </w:t>
      </w:r>
    </w:p>
    <w:p w14:paraId="3C0504A2" w14:textId="77777777" w:rsidR="005107BC" w:rsidRDefault="00F34A0F" w:rsidP="002B462D">
      <w:pPr>
        <w:pStyle w:val="Default"/>
        <w:spacing w:after="200"/>
        <w:ind w:left="360"/>
        <w:jc w:val="both"/>
        <w:rPr>
          <w:lang w:val="en"/>
        </w:rPr>
      </w:pPr>
      <w:r>
        <w:rPr>
          <w:lang w:val="en"/>
        </w:rPr>
        <w:t>Hospital quality performance programs include but are not limited to the Value Based Purchasing Program, Hospital Acquired Conditions Pro</w:t>
      </w:r>
      <w:r w:rsidR="00BB0327">
        <w:rPr>
          <w:lang w:val="en"/>
        </w:rPr>
        <w:t>g</w:t>
      </w:r>
      <w:r>
        <w:rPr>
          <w:lang w:val="en"/>
        </w:rPr>
        <w:t>ram, Hospital Readmissions Reduction Program, etc.</w:t>
      </w:r>
      <w:r w:rsidR="005107BC">
        <w:rPr>
          <w:lang w:val="en"/>
        </w:rPr>
        <w:t xml:space="preserve"> </w:t>
      </w:r>
      <w:r w:rsidR="00DD61FC">
        <w:rPr>
          <w:lang w:val="en"/>
        </w:rPr>
        <w:t>The</w:t>
      </w:r>
      <w:r w:rsidR="00211486">
        <w:rPr>
          <w:lang w:val="en"/>
        </w:rPr>
        <w:t xml:space="preserve"> facility’s</w:t>
      </w:r>
      <w:r w:rsidR="00DD61FC">
        <w:rPr>
          <w:lang w:val="en"/>
        </w:rPr>
        <w:t xml:space="preserve"> quality </w:t>
      </w:r>
      <w:r w:rsidR="00211486">
        <w:rPr>
          <w:lang w:val="en"/>
        </w:rPr>
        <w:t xml:space="preserve">performance </w:t>
      </w:r>
      <w:r>
        <w:rPr>
          <w:lang w:val="en"/>
        </w:rPr>
        <w:t xml:space="preserve">in these programs </w:t>
      </w:r>
      <w:r w:rsidR="00211486">
        <w:rPr>
          <w:lang w:val="en"/>
        </w:rPr>
        <w:t>may</w:t>
      </w:r>
      <w:r w:rsidR="00DD61FC">
        <w:rPr>
          <w:lang w:val="en"/>
        </w:rPr>
        <w:t xml:space="preserve"> result in penalties and/or rewards based on hospital performance. </w:t>
      </w:r>
      <w:r w:rsidR="005107BC">
        <w:rPr>
          <w:lang w:val="en"/>
        </w:rPr>
        <w:t>Medicare publicly reports</w:t>
      </w:r>
      <w:r w:rsidR="003E38E0">
        <w:rPr>
          <w:lang w:val="en"/>
        </w:rPr>
        <w:t xml:space="preserve"> the</w:t>
      </w:r>
      <w:r w:rsidR="005107BC">
        <w:rPr>
          <w:lang w:val="en"/>
        </w:rPr>
        <w:t xml:space="preserve"> </w:t>
      </w:r>
      <w:r w:rsidR="003E38E0">
        <w:rPr>
          <w:lang w:val="en"/>
        </w:rPr>
        <w:lastRenderedPageBreak/>
        <w:t>hospital-specific data used to calculate reimbursement</w:t>
      </w:r>
      <w:r w:rsidR="00DD61FC">
        <w:rPr>
          <w:lang w:val="en"/>
        </w:rPr>
        <w:t xml:space="preserve"> with the proposed and final rules </w:t>
      </w:r>
      <w:r>
        <w:rPr>
          <w:lang w:val="en"/>
        </w:rPr>
        <w:t>and in the inpatient provider specific files.</w:t>
      </w:r>
    </w:p>
    <w:p w14:paraId="278F9D9C" w14:textId="77777777" w:rsidR="00E22F23" w:rsidRPr="00E22F23" w:rsidRDefault="00E22F23" w:rsidP="00A11040">
      <w:pPr>
        <w:pStyle w:val="Default"/>
        <w:numPr>
          <w:ilvl w:val="0"/>
          <w:numId w:val="14"/>
        </w:numPr>
        <w:jc w:val="both"/>
        <w:rPr>
          <w:b/>
          <w:lang w:val="en"/>
        </w:rPr>
      </w:pPr>
      <w:r>
        <w:rPr>
          <w:b/>
          <w:lang w:val="en"/>
        </w:rPr>
        <w:t>Fixed Payment for Episode of Care</w:t>
      </w:r>
    </w:p>
    <w:p w14:paraId="4B9E2C95" w14:textId="77777777" w:rsidR="003E38E0" w:rsidRDefault="003E38E0" w:rsidP="002B462D">
      <w:pPr>
        <w:pStyle w:val="Default"/>
        <w:spacing w:after="200"/>
        <w:ind w:left="360"/>
        <w:jc w:val="both"/>
        <w:rPr>
          <w:lang w:val="en"/>
        </w:rPr>
      </w:pPr>
      <w:r>
        <w:rPr>
          <w:lang w:val="en"/>
        </w:rPr>
        <w:t xml:space="preserve">Another important aspect of this methodology is that the hospital </w:t>
      </w:r>
      <w:r w:rsidR="004253DF">
        <w:rPr>
          <w:lang w:val="en"/>
        </w:rPr>
        <w:t>is</w:t>
      </w:r>
      <w:r>
        <w:rPr>
          <w:lang w:val="en"/>
        </w:rPr>
        <w:t xml:space="preserve"> paid a fixed amount for th</w:t>
      </w:r>
      <w:r w:rsidR="00DD61FC">
        <w:rPr>
          <w:lang w:val="en"/>
        </w:rPr>
        <w:t xml:space="preserve">e </w:t>
      </w:r>
      <w:r w:rsidR="009462D4">
        <w:rPr>
          <w:lang w:val="en"/>
        </w:rPr>
        <w:t>episode of inpatient care</w:t>
      </w:r>
      <w:r>
        <w:rPr>
          <w:lang w:val="en"/>
        </w:rPr>
        <w:t xml:space="preserve">, regardless of how much money it actually spends treating </w:t>
      </w:r>
      <w:r w:rsidR="009462D4">
        <w:rPr>
          <w:lang w:val="en"/>
        </w:rPr>
        <w:t>the patient</w:t>
      </w:r>
      <w:r>
        <w:rPr>
          <w:lang w:val="en"/>
        </w:rPr>
        <w:t xml:space="preserve">. If a hospital can effectively treat </w:t>
      </w:r>
      <w:r w:rsidR="009462D4">
        <w:rPr>
          <w:lang w:val="en"/>
        </w:rPr>
        <w:t>a patient</w:t>
      </w:r>
      <w:r>
        <w:rPr>
          <w:lang w:val="en"/>
        </w:rPr>
        <w:t xml:space="preserve"> for less money than Medicare pays it for </w:t>
      </w:r>
      <w:r w:rsidR="009462D4">
        <w:rPr>
          <w:lang w:val="en"/>
        </w:rPr>
        <w:t>the episode of</w:t>
      </w:r>
      <w:r w:rsidR="004253DF">
        <w:rPr>
          <w:lang w:val="en"/>
        </w:rPr>
        <w:t xml:space="preserve"> inpatient</w:t>
      </w:r>
      <w:r w:rsidR="009462D4">
        <w:rPr>
          <w:lang w:val="en"/>
        </w:rPr>
        <w:t xml:space="preserve"> care</w:t>
      </w:r>
      <w:r>
        <w:rPr>
          <w:lang w:val="en"/>
        </w:rPr>
        <w:t xml:space="preserve">, then the hospital makes money on that hospitalization. If the hospital spends more money caring for </w:t>
      </w:r>
      <w:r w:rsidR="009462D4">
        <w:rPr>
          <w:lang w:val="en"/>
        </w:rPr>
        <w:t>the patient</w:t>
      </w:r>
      <w:r>
        <w:rPr>
          <w:lang w:val="en"/>
        </w:rPr>
        <w:t xml:space="preserve"> than Medicare gives it for </w:t>
      </w:r>
      <w:r w:rsidR="009462D4">
        <w:rPr>
          <w:lang w:val="en"/>
        </w:rPr>
        <w:t>the episode of care</w:t>
      </w:r>
      <w:r>
        <w:rPr>
          <w:lang w:val="en"/>
        </w:rPr>
        <w:t>, then the hospital loses money on that hospitalization.</w:t>
      </w:r>
      <w:r w:rsidR="005D57AE">
        <w:rPr>
          <w:lang w:val="en"/>
        </w:rPr>
        <w:t xml:space="preserve"> This is the reason why occasionally under this methodology, hospital inpatient bills will be paid at a rate that is higher than the charges.</w:t>
      </w:r>
    </w:p>
    <w:p w14:paraId="0E2131D7" w14:textId="77777777" w:rsidR="00853012" w:rsidRDefault="00043BA7" w:rsidP="00A11040">
      <w:pPr>
        <w:pStyle w:val="Default"/>
        <w:numPr>
          <w:ilvl w:val="0"/>
          <w:numId w:val="14"/>
        </w:numPr>
        <w:jc w:val="both"/>
        <w:rPr>
          <w:b/>
        </w:rPr>
      </w:pPr>
      <w:r>
        <w:rPr>
          <w:b/>
        </w:rPr>
        <w:t xml:space="preserve">Payment Deviations for Patient </w:t>
      </w:r>
      <w:r w:rsidR="00853012">
        <w:rPr>
          <w:b/>
        </w:rPr>
        <w:t>Transfers</w:t>
      </w:r>
    </w:p>
    <w:p w14:paraId="2A81B330" w14:textId="65F7E6B8" w:rsidR="00853012" w:rsidRDefault="00853012" w:rsidP="002B462D">
      <w:pPr>
        <w:pStyle w:val="Default"/>
        <w:ind w:left="360"/>
        <w:jc w:val="both"/>
      </w:pPr>
      <w:r>
        <w:t>Medicare’s IPPS includes payment deviations for transfer cases and post-acute transfer cases. Transfer cases occur when a patient is transferred from an IPPS hospital to another IPPS hospital. Post-acute transfers occur when a patient is transferred from an IPPS hospital to a non-IPPS hospital</w:t>
      </w:r>
      <w:r w:rsidR="00A04E33">
        <w:t xml:space="preserve">, skilled nursing facility or under the care of home health services </w:t>
      </w:r>
      <w:r w:rsidR="00043BA7">
        <w:t>for certain</w:t>
      </w:r>
      <w:r w:rsidR="00FE5AB4">
        <w:t xml:space="preserve"> MS-</w:t>
      </w:r>
      <w:r w:rsidR="00043BA7">
        <w:t xml:space="preserve">DRGs.  </w:t>
      </w:r>
    </w:p>
    <w:p w14:paraId="4CC4071D" w14:textId="77777777" w:rsidR="00A374A5" w:rsidRDefault="00A374A5" w:rsidP="00853012">
      <w:pPr>
        <w:pStyle w:val="Default"/>
        <w:jc w:val="both"/>
      </w:pPr>
    </w:p>
    <w:p w14:paraId="1751B2BD" w14:textId="77777777" w:rsidR="00853012" w:rsidRPr="00853012" w:rsidRDefault="00853012" w:rsidP="00A11040">
      <w:pPr>
        <w:pStyle w:val="Default"/>
        <w:numPr>
          <w:ilvl w:val="0"/>
          <w:numId w:val="14"/>
        </w:numPr>
        <w:jc w:val="both"/>
        <w:rPr>
          <w:b/>
        </w:rPr>
      </w:pPr>
      <w:r>
        <w:rPr>
          <w:b/>
        </w:rPr>
        <w:t>High Cost Outlier</w:t>
      </w:r>
      <w:r w:rsidR="00A374A5">
        <w:rPr>
          <w:b/>
        </w:rPr>
        <w:t xml:space="preserve"> Cases</w:t>
      </w:r>
    </w:p>
    <w:p w14:paraId="3442AFEA" w14:textId="77777777" w:rsidR="0081751E" w:rsidRDefault="0081751E" w:rsidP="002B462D">
      <w:pPr>
        <w:pStyle w:val="Default"/>
        <w:spacing w:after="200"/>
        <w:ind w:left="360"/>
        <w:jc w:val="both"/>
      </w:pPr>
      <w:r>
        <w:t xml:space="preserve">This Medicare methodology also contains a provision to </w:t>
      </w:r>
      <w:r w:rsidRPr="00423A00">
        <w:t>help protect hospitals from</w:t>
      </w:r>
      <w:r>
        <w:t xml:space="preserve"> </w:t>
      </w:r>
      <w:r w:rsidRPr="00423A00">
        <w:t>large losses due to extraordinarily high-cost cases</w:t>
      </w:r>
      <w:r>
        <w:t xml:space="preserve">. This is </w:t>
      </w:r>
      <w:r w:rsidR="00DD61FC">
        <w:t>referred to as</w:t>
      </w:r>
      <w:r>
        <w:t xml:space="preserve"> an outlier add-on payment.</w:t>
      </w:r>
      <w:r w:rsidRPr="0081751E">
        <w:t xml:space="preserve"> </w:t>
      </w:r>
      <w:r>
        <w:t>T</w:t>
      </w:r>
      <w:r w:rsidRPr="00423A00">
        <w:t>o</w:t>
      </w:r>
      <w:r>
        <w:t xml:space="preserve"> </w:t>
      </w:r>
      <w:r w:rsidRPr="00423A00">
        <w:t>receive an outlier payment, the cost of a case must</w:t>
      </w:r>
      <w:r>
        <w:t xml:space="preserve"> </w:t>
      </w:r>
      <w:r w:rsidRPr="00423A00">
        <w:t>exceed the sum of the hospital</w:t>
      </w:r>
      <w:r>
        <w:t>’</w:t>
      </w:r>
      <w:r w:rsidRPr="00423A00">
        <w:t xml:space="preserve">s applicable </w:t>
      </w:r>
      <w:r w:rsidR="00FE5AB4">
        <w:t>MS-</w:t>
      </w:r>
      <w:r w:rsidR="00AC5953">
        <w:t>DRG</w:t>
      </w:r>
      <w:r w:rsidRPr="00423A00">
        <w:t xml:space="preserve"> payment</w:t>
      </w:r>
      <w:r>
        <w:t xml:space="preserve"> </w:t>
      </w:r>
      <w:r w:rsidRPr="00423A00">
        <w:t>and a fixed loss thre</w:t>
      </w:r>
      <w:r>
        <w:t xml:space="preserve">shold that is set at </w:t>
      </w:r>
      <w:r>
        <w:rPr>
          <w:rFonts w:eastAsia="Times New Roman" w:cs="Times New Roman"/>
        </w:rPr>
        <w:t>yearly by CMS</w:t>
      </w:r>
      <w:r w:rsidRPr="00423A00">
        <w:t xml:space="preserve">. </w:t>
      </w:r>
      <w:r>
        <w:t xml:space="preserve">This fixed loss threshold acts similar to a deductible in a typical insurance policy. </w:t>
      </w:r>
      <w:r w:rsidRPr="00423A00">
        <w:t>After a hospital reports exceeding</w:t>
      </w:r>
      <w:r>
        <w:t xml:space="preserve"> </w:t>
      </w:r>
      <w:r w:rsidRPr="00423A00">
        <w:t>this threshold for an individual case, Medicare pays the</w:t>
      </w:r>
      <w:r>
        <w:t xml:space="preserve"> </w:t>
      </w:r>
      <w:r w:rsidRPr="00423A00">
        <w:t>hospital 80</w:t>
      </w:r>
      <w:r>
        <w:t xml:space="preserve"> </w:t>
      </w:r>
      <w:r w:rsidRPr="00423A00">
        <w:t>percent of its costs above that threshold as an</w:t>
      </w:r>
      <w:r>
        <w:t xml:space="preserve"> </w:t>
      </w:r>
      <w:r w:rsidRPr="00423A00">
        <w:t>outlier payment</w:t>
      </w:r>
      <w:r>
        <w:t xml:space="preserve"> (</w:t>
      </w:r>
      <w:r w:rsidRPr="003E35A6">
        <w:t xml:space="preserve">90 percent for burn </w:t>
      </w:r>
      <w:r w:rsidR="00FE5AB4">
        <w:t>MS-</w:t>
      </w:r>
      <w:r w:rsidRPr="003E35A6">
        <w:t>DRGs</w:t>
      </w:r>
      <w:r w:rsidRPr="003E35A6">
        <w:rPr>
          <w:rFonts w:cs="Melior"/>
        </w:rPr>
        <w:t xml:space="preserve"> </w:t>
      </w:r>
      <w:r w:rsidRPr="003E35A6">
        <w:t>927, 928, 929, 933, 934 and 935</w:t>
      </w:r>
      <w:r>
        <w:t>).</w:t>
      </w:r>
    </w:p>
    <w:p w14:paraId="7D6360C5" w14:textId="77777777" w:rsidR="00853012" w:rsidRPr="00853012" w:rsidRDefault="00853012" w:rsidP="00A11040">
      <w:pPr>
        <w:pStyle w:val="Default"/>
        <w:numPr>
          <w:ilvl w:val="0"/>
          <w:numId w:val="14"/>
        </w:numPr>
        <w:jc w:val="both"/>
        <w:rPr>
          <w:b/>
        </w:rPr>
      </w:pPr>
      <w:r>
        <w:rPr>
          <w:b/>
        </w:rPr>
        <w:t>Outpatient Services Treated as Inpatient Services</w:t>
      </w:r>
    </w:p>
    <w:p w14:paraId="688471AE" w14:textId="4BFCE565" w:rsidR="00A961D5" w:rsidRDefault="00A961D5" w:rsidP="002B462D">
      <w:pPr>
        <w:pStyle w:val="Default"/>
        <w:ind w:left="360"/>
        <w:jc w:val="both"/>
        <w:rPr>
          <w:lang w:val="en"/>
        </w:rPr>
      </w:pPr>
      <w:r>
        <w:t xml:space="preserve">Another provision of the Medicare methodology details when outpatient services should be billed as inpatient services. This is also known as the </w:t>
      </w:r>
      <w:r w:rsidRPr="00A961D5">
        <w:rPr>
          <w:lang w:val="en"/>
        </w:rPr>
        <w:t>“3-day (or 1-day) payment window.” Under the payment window policy, a hospital (or an entity that is wholly owned or wholly operated by the hospital) must include on the claim for a beneficiary's inpatient stay, the diagnoses, procedures, and charges for all outpatient diagnostic services and admission-related outpatient non-diagnostic services that are furnished to the beneficiary during the 3-day (or 1-day) payment window. The law makes the policy pertaining to admission-related outpatient non-diagnostic services more consistent with common hospital billing practices and makes no changes to the existing policy regarding billing of outpatient diagnostic services. </w:t>
      </w:r>
      <w:r>
        <w:rPr>
          <w:lang w:val="en"/>
        </w:rPr>
        <w:t xml:space="preserve"> </w:t>
      </w:r>
      <w:r w:rsidR="00FF6244">
        <w:rPr>
          <w:lang w:val="en"/>
        </w:rPr>
        <w:t>H</w:t>
      </w:r>
      <w:r>
        <w:rPr>
          <w:lang w:val="en"/>
        </w:rPr>
        <w:t xml:space="preserve">ospitals and managed care organizations </w:t>
      </w:r>
      <w:r w:rsidR="00FF6244">
        <w:rPr>
          <w:lang w:val="en"/>
        </w:rPr>
        <w:t>should follow this</w:t>
      </w:r>
      <w:r>
        <w:rPr>
          <w:lang w:val="en"/>
        </w:rPr>
        <w:t xml:space="preserve"> Medicare IPPS policy, which is detailed in the </w:t>
      </w:r>
      <w:hyperlink r:id="rId18" w:history="1">
        <w:r w:rsidR="009A3364">
          <w:rPr>
            <w:rStyle w:val="Hyperlink"/>
            <w:lang w:val="en"/>
          </w:rPr>
          <w:t>Medicare Claims Processing Manual, Chapter 3</w:t>
        </w:r>
      </w:hyperlink>
      <w:r>
        <w:rPr>
          <w:lang w:val="en"/>
        </w:rPr>
        <w:t xml:space="preserve">. </w:t>
      </w:r>
    </w:p>
    <w:p w14:paraId="3C0A13D3" w14:textId="77777777" w:rsidR="00A961D5" w:rsidRDefault="00A961D5" w:rsidP="00A961D5">
      <w:pPr>
        <w:pStyle w:val="Default"/>
        <w:jc w:val="both"/>
      </w:pPr>
    </w:p>
    <w:p w14:paraId="69A769E7" w14:textId="77777777" w:rsidR="00A374A5" w:rsidRPr="00A374A5" w:rsidRDefault="00A374A5" w:rsidP="00A11040">
      <w:pPr>
        <w:pStyle w:val="Default"/>
        <w:numPr>
          <w:ilvl w:val="0"/>
          <w:numId w:val="14"/>
        </w:numPr>
        <w:jc w:val="both"/>
        <w:rPr>
          <w:b/>
        </w:rPr>
      </w:pPr>
      <w:r w:rsidRPr="00A374A5">
        <w:rPr>
          <w:b/>
        </w:rPr>
        <w:t>Disproportionate Share Payments</w:t>
      </w:r>
    </w:p>
    <w:p w14:paraId="5696C478" w14:textId="77777777" w:rsidR="00A374A5" w:rsidRDefault="00A374A5" w:rsidP="002B462D">
      <w:pPr>
        <w:pStyle w:val="Default"/>
        <w:ind w:left="360"/>
        <w:jc w:val="both"/>
      </w:pPr>
      <w:r w:rsidRPr="00A374A5">
        <w:lastRenderedPageBreak/>
        <w:t xml:space="preserve">Adjustments are made in the Federal portion of the operating cost </w:t>
      </w:r>
      <w:r w:rsidR="00FE5AB4">
        <w:t>MS-</w:t>
      </w:r>
      <w:r w:rsidRPr="00A374A5">
        <w:t>DRG payment to increase payments to hospitals serving a disproportionate share of low-income patients.</w:t>
      </w:r>
    </w:p>
    <w:p w14:paraId="70FC0B9A" w14:textId="77777777" w:rsidR="00A374A5" w:rsidRPr="00A374A5" w:rsidRDefault="00A374A5" w:rsidP="00A374A5">
      <w:pPr>
        <w:pStyle w:val="Default"/>
        <w:jc w:val="both"/>
      </w:pPr>
    </w:p>
    <w:p w14:paraId="10561540" w14:textId="77777777" w:rsidR="00A374A5" w:rsidRPr="00A374A5" w:rsidRDefault="00A374A5" w:rsidP="00A11040">
      <w:pPr>
        <w:pStyle w:val="Default"/>
        <w:numPr>
          <w:ilvl w:val="0"/>
          <w:numId w:val="14"/>
        </w:numPr>
        <w:jc w:val="both"/>
        <w:rPr>
          <w:b/>
        </w:rPr>
      </w:pPr>
      <w:r w:rsidRPr="00A374A5">
        <w:rPr>
          <w:b/>
        </w:rPr>
        <w:t>Indirect Medical Education</w:t>
      </w:r>
    </w:p>
    <w:p w14:paraId="5179E6EE" w14:textId="77777777" w:rsidR="00A374A5" w:rsidRDefault="00A374A5" w:rsidP="002B462D">
      <w:pPr>
        <w:pStyle w:val="Default"/>
        <w:ind w:left="360"/>
        <w:jc w:val="both"/>
      </w:pPr>
      <w:r w:rsidRPr="00A374A5">
        <w:t>An adjustment is also provided to the Federal rate for indirect costs of medical education of interns and residents.</w:t>
      </w:r>
      <w:r w:rsidR="002B462D">
        <w:t xml:space="preserve"> Medicare calculates this on a per discharge basis.</w:t>
      </w:r>
    </w:p>
    <w:p w14:paraId="4C9D1885" w14:textId="77777777" w:rsidR="00A374A5" w:rsidRDefault="00A374A5" w:rsidP="00A961D5">
      <w:pPr>
        <w:pStyle w:val="Default"/>
        <w:jc w:val="both"/>
      </w:pPr>
    </w:p>
    <w:p w14:paraId="41C27AE9" w14:textId="77777777" w:rsidR="005D57AE" w:rsidRPr="00D4120F" w:rsidRDefault="00274936" w:rsidP="00FE4A5F">
      <w:pPr>
        <w:pStyle w:val="Heading2"/>
        <w:spacing w:before="0"/>
        <w:jc w:val="both"/>
      </w:pPr>
      <w:bookmarkStart w:id="9" w:name="_Toc56580520"/>
      <w:r w:rsidRPr="00D4120F">
        <w:t xml:space="preserve">B. </w:t>
      </w:r>
      <w:r w:rsidR="00154836" w:rsidRPr="00D4120F">
        <w:t>Calculating Reimbursement</w:t>
      </w:r>
      <w:bookmarkEnd w:id="9"/>
    </w:p>
    <w:p w14:paraId="5CF21941" w14:textId="46BEAE9E" w:rsidR="00146D39" w:rsidRDefault="005B087F" w:rsidP="0061559F">
      <w:pPr>
        <w:spacing w:after="0" w:line="240" w:lineRule="auto"/>
        <w:jc w:val="both"/>
        <w:rPr>
          <w:sz w:val="24"/>
          <w:szCs w:val="24"/>
        </w:rPr>
      </w:pPr>
      <w:r>
        <w:rPr>
          <w:sz w:val="24"/>
          <w:szCs w:val="24"/>
        </w:rPr>
        <w:t xml:space="preserve">BWC </w:t>
      </w:r>
      <w:r w:rsidR="00211486">
        <w:rPr>
          <w:sz w:val="24"/>
          <w:szCs w:val="24"/>
        </w:rPr>
        <w:t xml:space="preserve">utilizes </w:t>
      </w:r>
      <w:r>
        <w:rPr>
          <w:sz w:val="24"/>
          <w:szCs w:val="24"/>
        </w:rPr>
        <w:t xml:space="preserve">the Medicare IPPS reimbursement </w:t>
      </w:r>
      <w:r w:rsidR="00211486">
        <w:rPr>
          <w:sz w:val="24"/>
          <w:szCs w:val="24"/>
        </w:rPr>
        <w:t>rate</w:t>
      </w:r>
      <w:r>
        <w:rPr>
          <w:sz w:val="24"/>
          <w:szCs w:val="24"/>
        </w:rPr>
        <w:t xml:space="preserve"> as a basis for reimbursement for</w:t>
      </w:r>
      <w:r w:rsidR="00A7384B">
        <w:rPr>
          <w:sz w:val="24"/>
          <w:szCs w:val="24"/>
        </w:rPr>
        <w:t xml:space="preserve"> </w:t>
      </w:r>
      <w:r w:rsidR="00211486">
        <w:rPr>
          <w:sz w:val="24"/>
          <w:szCs w:val="24"/>
        </w:rPr>
        <w:t xml:space="preserve">IPPS-eligible </w:t>
      </w:r>
      <w:r>
        <w:rPr>
          <w:sz w:val="24"/>
          <w:szCs w:val="24"/>
        </w:rPr>
        <w:t>hospital inpatient services.</w:t>
      </w:r>
      <w:r w:rsidR="00146D39">
        <w:rPr>
          <w:sz w:val="24"/>
          <w:szCs w:val="24"/>
        </w:rPr>
        <w:t xml:space="preserve"> </w:t>
      </w:r>
      <w:r w:rsidR="00616D7F">
        <w:rPr>
          <w:sz w:val="24"/>
          <w:szCs w:val="24"/>
        </w:rPr>
        <w:t>BWC</w:t>
      </w:r>
      <w:r w:rsidR="00146D39">
        <w:rPr>
          <w:sz w:val="24"/>
          <w:szCs w:val="24"/>
        </w:rPr>
        <w:t xml:space="preserve"> utilize</w:t>
      </w:r>
      <w:r w:rsidR="00616D7F">
        <w:rPr>
          <w:sz w:val="24"/>
          <w:szCs w:val="24"/>
        </w:rPr>
        <w:t>s</w:t>
      </w:r>
      <w:r w:rsidR="00146D39">
        <w:rPr>
          <w:sz w:val="24"/>
          <w:szCs w:val="24"/>
        </w:rPr>
        <w:t xml:space="preserve"> the Medicare editing, grouping and pricing provisions that are effective for Medicare on October 1</w:t>
      </w:r>
      <w:r w:rsidR="00616D7F">
        <w:rPr>
          <w:sz w:val="24"/>
          <w:szCs w:val="24"/>
        </w:rPr>
        <w:t xml:space="preserve"> of each year,</w:t>
      </w:r>
      <w:r w:rsidR="00616D7F" w:rsidRPr="00616D7F">
        <w:rPr>
          <w:sz w:val="24"/>
          <w:szCs w:val="24"/>
        </w:rPr>
        <w:t xml:space="preserve"> </w:t>
      </w:r>
      <w:r w:rsidR="00616D7F">
        <w:rPr>
          <w:sz w:val="24"/>
          <w:szCs w:val="24"/>
        </w:rPr>
        <w:t xml:space="preserve">with exceptions noted in this document. Click </w:t>
      </w:r>
      <w:hyperlink r:id="rId19" w:history="1">
        <w:r w:rsidR="00616D7F">
          <w:rPr>
            <w:rStyle w:val="Hyperlink"/>
            <w:sz w:val="24"/>
            <w:szCs w:val="24"/>
          </w:rPr>
          <w:t>here</w:t>
        </w:r>
      </w:hyperlink>
      <w:r w:rsidR="00616D7F">
        <w:rPr>
          <w:sz w:val="24"/>
          <w:szCs w:val="24"/>
        </w:rPr>
        <w:t xml:space="preserve"> to see the Medicare final inpatient rules by rate year.</w:t>
      </w:r>
    </w:p>
    <w:p w14:paraId="4EBFBFEF" w14:textId="77777777" w:rsidR="00374A0A" w:rsidRDefault="00374A0A" w:rsidP="0061559F">
      <w:pPr>
        <w:spacing w:after="0" w:line="240" w:lineRule="auto"/>
        <w:jc w:val="both"/>
        <w:rPr>
          <w:sz w:val="24"/>
          <w:szCs w:val="24"/>
        </w:rPr>
      </w:pPr>
    </w:p>
    <w:p w14:paraId="2D330E30" w14:textId="47160BBA" w:rsidR="00A7384B" w:rsidRDefault="00E9785A" w:rsidP="0061559F">
      <w:pPr>
        <w:spacing w:after="0" w:line="240" w:lineRule="auto"/>
        <w:jc w:val="both"/>
        <w:rPr>
          <w:sz w:val="24"/>
          <w:szCs w:val="24"/>
        </w:rPr>
      </w:pPr>
      <w:r>
        <w:rPr>
          <w:sz w:val="24"/>
          <w:szCs w:val="24"/>
        </w:rPr>
        <w:t xml:space="preserve">The basic </w:t>
      </w:r>
      <w:r w:rsidR="009C74F4">
        <w:rPr>
          <w:sz w:val="24"/>
          <w:szCs w:val="24"/>
        </w:rPr>
        <w:t xml:space="preserve">concepts of </w:t>
      </w:r>
      <w:r>
        <w:rPr>
          <w:sz w:val="24"/>
          <w:szCs w:val="24"/>
        </w:rPr>
        <w:t xml:space="preserve">calculating DRG and outlier payments can be found in </w:t>
      </w:r>
      <w:r w:rsidR="000F1C84">
        <w:rPr>
          <w:sz w:val="24"/>
          <w:szCs w:val="24"/>
        </w:rPr>
        <w:t>this</w:t>
      </w:r>
      <w:r w:rsidR="00653106">
        <w:rPr>
          <w:sz w:val="24"/>
          <w:szCs w:val="24"/>
        </w:rPr>
        <w:t xml:space="preserve"> section</w:t>
      </w:r>
      <w:r>
        <w:rPr>
          <w:sz w:val="24"/>
          <w:szCs w:val="24"/>
        </w:rPr>
        <w:t xml:space="preserve"> of this document. </w:t>
      </w:r>
      <w:r w:rsidR="00A7384B">
        <w:rPr>
          <w:sz w:val="24"/>
          <w:szCs w:val="24"/>
        </w:rPr>
        <w:t xml:space="preserve">Because </w:t>
      </w:r>
      <w:r w:rsidR="00211486">
        <w:rPr>
          <w:sz w:val="24"/>
          <w:szCs w:val="24"/>
        </w:rPr>
        <w:t>numerous</w:t>
      </w:r>
      <w:r w:rsidR="00A7384B">
        <w:rPr>
          <w:sz w:val="24"/>
          <w:szCs w:val="24"/>
        </w:rPr>
        <w:t xml:space="preserve"> data elements </w:t>
      </w:r>
      <w:r w:rsidR="00211486">
        <w:rPr>
          <w:sz w:val="24"/>
          <w:szCs w:val="24"/>
        </w:rPr>
        <w:t xml:space="preserve">and </w:t>
      </w:r>
      <w:r>
        <w:rPr>
          <w:sz w:val="24"/>
          <w:szCs w:val="24"/>
        </w:rPr>
        <w:t xml:space="preserve">complex </w:t>
      </w:r>
      <w:r w:rsidR="00211486">
        <w:rPr>
          <w:sz w:val="24"/>
          <w:szCs w:val="24"/>
        </w:rPr>
        <w:t xml:space="preserve">formulas are </w:t>
      </w:r>
      <w:r w:rsidR="00653106">
        <w:rPr>
          <w:sz w:val="24"/>
          <w:szCs w:val="24"/>
        </w:rPr>
        <w:t>used</w:t>
      </w:r>
      <w:r w:rsidR="00211486">
        <w:rPr>
          <w:sz w:val="24"/>
          <w:szCs w:val="24"/>
        </w:rPr>
        <w:t xml:space="preserve"> to determine the </w:t>
      </w:r>
      <w:r w:rsidR="008642D6">
        <w:rPr>
          <w:sz w:val="24"/>
          <w:szCs w:val="24"/>
        </w:rPr>
        <w:t>MS-</w:t>
      </w:r>
      <w:r w:rsidR="00A7384B">
        <w:rPr>
          <w:sz w:val="24"/>
          <w:szCs w:val="24"/>
        </w:rPr>
        <w:t xml:space="preserve">DRG assignment </w:t>
      </w:r>
      <w:r w:rsidR="00211486">
        <w:rPr>
          <w:sz w:val="24"/>
          <w:szCs w:val="24"/>
        </w:rPr>
        <w:t>and the calculation of the Medicare reimbursement rate</w:t>
      </w:r>
      <w:r w:rsidR="00A7384B">
        <w:rPr>
          <w:sz w:val="24"/>
          <w:szCs w:val="24"/>
        </w:rPr>
        <w:t xml:space="preserve">, </w:t>
      </w:r>
      <w:r w:rsidR="00211486">
        <w:rPr>
          <w:sz w:val="24"/>
          <w:szCs w:val="24"/>
        </w:rPr>
        <w:t xml:space="preserve">BWC </w:t>
      </w:r>
      <w:r w:rsidR="008642D6">
        <w:rPr>
          <w:sz w:val="24"/>
          <w:szCs w:val="24"/>
        </w:rPr>
        <w:t>purchases</w:t>
      </w:r>
      <w:r w:rsidR="00211486">
        <w:rPr>
          <w:sz w:val="24"/>
          <w:szCs w:val="24"/>
        </w:rPr>
        <w:t xml:space="preserve"> </w:t>
      </w:r>
      <w:r w:rsidR="00A7384B">
        <w:rPr>
          <w:sz w:val="24"/>
          <w:szCs w:val="24"/>
        </w:rPr>
        <w:t xml:space="preserve">software to </w:t>
      </w:r>
      <w:r w:rsidR="00211486">
        <w:rPr>
          <w:sz w:val="24"/>
          <w:szCs w:val="24"/>
        </w:rPr>
        <w:t>replicate the Medicare methodology</w:t>
      </w:r>
      <w:r w:rsidR="00146D39">
        <w:rPr>
          <w:sz w:val="24"/>
          <w:szCs w:val="24"/>
        </w:rPr>
        <w:t>. This software performs</w:t>
      </w:r>
      <w:r w:rsidR="008642D6">
        <w:rPr>
          <w:sz w:val="24"/>
          <w:szCs w:val="24"/>
        </w:rPr>
        <w:t xml:space="preserve"> the</w:t>
      </w:r>
      <w:r w:rsidR="00146D39">
        <w:rPr>
          <w:sz w:val="24"/>
          <w:szCs w:val="24"/>
        </w:rPr>
        <w:t xml:space="preserve"> bill editing, grouping and pricing functions</w:t>
      </w:r>
      <w:r w:rsidR="00274936">
        <w:rPr>
          <w:sz w:val="24"/>
          <w:szCs w:val="24"/>
        </w:rPr>
        <w:t xml:space="preserve"> detailed in the steps below.</w:t>
      </w:r>
      <w:r w:rsidR="008642D6">
        <w:rPr>
          <w:sz w:val="24"/>
          <w:szCs w:val="24"/>
        </w:rPr>
        <w:t xml:space="preserve"> BWC currently purchases the software from nThrive</w:t>
      </w:r>
      <w:r w:rsidR="00E3398A">
        <w:rPr>
          <w:sz w:val="24"/>
          <w:szCs w:val="24"/>
        </w:rPr>
        <w:t>, Inc</w:t>
      </w:r>
      <w:r w:rsidR="008642D6">
        <w:rPr>
          <w:sz w:val="24"/>
          <w:szCs w:val="24"/>
        </w:rPr>
        <w:t>.</w:t>
      </w:r>
      <w:r w:rsidR="00CB0280">
        <w:rPr>
          <w:sz w:val="24"/>
          <w:szCs w:val="24"/>
        </w:rPr>
        <w:t xml:space="preserve"> </w:t>
      </w:r>
    </w:p>
    <w:p w14:paraId="1AB42387" w14:textId="77777777" w:rsidR="00274936" w:rsidRDefault="00274936" w:rsidP="00274936">
      <w:pPr>
        <w:spacing w:after="0" w:line="240" w:lineRule="auto"/>
        <w:jc w:val="both"/>
        <w:rPr>
          <w:b/>
          <w:sz w:val="24"/>
          <w:szCs w:val="24"/>
        </w:rPr>
      </w:pPr>
    </w:p>
    <w:p w14:paraId="0BC3AE97" w14:textId="77777777" w:rsidR="00274936" w:rsidRPr="004D6C24" w:rsidRDefault="00274936" w:rsidP="00A11040">
      <w:pPr>
        <w:pStyle w:val="ListParagraph"/>
        <w:numPr>
          <w:ilvl w:val="0"/>
          <w:numId w:val="13"/>
        </w:numPr>
        <w:spacing w:after="0" w:line="240" w:lineRule="auto"/>
        <w:jc w:val="both"/>
        <w:rPr>
          <w:b/>
          <w:sz w:val="24"/>
          <w:szCs w:val="24"/>
        </w:rPr>
      </w:pPr>
      <w:r w:rsidRPr="004D6C24">
        <w:rPr>
          <w:b/>
          <w:sz w:val="24"/>
          <w:szCs w:val="24"/>
        </w:rPr>
        <w:t xml:space="preserve"> </w:t>
      </w:r>
      <w:r w:rsidR="00B63A5D">
        <w:rPr>
          <w:b/>
          <w:sz w:val="24"/>
          <w:szCs w:val="24"/>
        </w:rPr>
        <w:t>Perform Clinical Editing – (</w:t>
      </w:r>
      <w:r w:rsidRPr="004D6C24">
        <w:rPr>
          <w:b/>
          <w:sz w:val="24"/>
          <w:szCs w:val="24"/>
        </w:rPr>
        <w:t>Medicare Code Editor</w:t>
      </w:r>
      <w:r w:rsidR="00B63A5D">
        <w:rPr>
          <w:b/>
          <w:sz w:val="24"/>
          <w:szCs w:val="24"/>
        </w:rPr>
        <w:t>)</w:t>
      </w:r>
    </w:p>
    <w:p w14:paraId="6D0D8156" w14:textId="55501DD3" w:rsidR="00274936" w:rsidRDefault="00274936" w:rsidP="004D6C24">
      <w:pPr>
        <w:spacing w:after="0" w:line="240" w:lineRule="auto"/>
        <w:ind w:left="360"/>
        <w:jc w:val="both"/>
        <w:rPr>
          <w:sz w:val="24"/>
          <w:szCs w:val="24"/>
        </w:rPr>
      </w:pPr>
      <w:r>
        <w:rPr>
          <w:sz w:val="24"/>
          <w:szCs w:val="24"/>
        </w:rPr>
        <w:t xml:space="preserve">The software contains the Medicare Code Edits (MCE) which supports </w:t>
      </w:r>
      <w:r w:rsidR="008642D6">
        <w:rPr>
          <w:sz w:val="24"/>
          <w:szCs w:val="24"/>
        </w:rPr>
        <w:t>MS-</w:t>
      </w:r>
      <w:r>
        <w:rPr>
          <w:sz w:val="24"/>
          <w:szCs w:val="24"/>
        </w:rPr>
        <w:t xml:space="preserve">DRG assignment and identify potential billing errors. </w:t>
      </w:r>
      <w:r w:rsidRPr="00D62BC7">
        <w:rPr>
          <w:sz w:val="24"/>
          <w:szCs w:val="24"/>
        </w:rPr>
        <w:t xml:space="preserve">In determining the appropriate MS-DRG for a Medicare patient, the age, sex, discharge status, principal diagnosis, secondary diagnosis, and procedures performed must be reported accurately to the </w:t>
      </w:r>
      <w:r w:rsidR="008642D6">
        <w:rPr>
          <w:sz w:val="24"/>
          <w:szCs w:val="24"/>
        </w:rPr>
        <w:t>g</w:t>
      </w:r>
      <w:r w:rsidRPr="00D62BC7">
        <w:rPr>
          <w:sz w:val="24"/>
          <w:szCs w:val="24"/>
        </w:rPr>
        <w:t xml:space="preserve">rouper program. The logic of the </w:t>
      </w:r>
      <w:r w:rsidR="008642D6">
        <w:rPr>
          <w:sz w:val="24"/>
          <w:szCs w:val="24"/>
        </w:rPr>
        <w:t>g</w:t>
      </w:r>
      <w:r w:rsidRPr="00D62BC7">
        <w:rPr>
          <w:sz w:val="24"/>
          <w:szCs w:val="24"/>
        </w:rPr>
        <w:t xml:space="preserve">rouper software assumes that this information is accurate and the </w:t>
      </w:r>
      <w:r w:rsidR="008642D6">
        <w:rPr>
          <w:sz w:val="24"/>
          <w:szCs w:val="24"/>
        </w:rPr>
        <w:t>g</w:t>
      </w:r>
      <w:r w:rsidRPr="00D62BC7">
        <w:rPr>
          <w:sz w:val="24"/>
          <w:szCs w:val="24"/>
        </w:rPr>
        <w:t xml:space="preserve">rouper does not make any attempt to edit the data for accuracy. Only where extreme inconsistencies occur in the patient information will a patient not be assigned to a MS-DRG. Therefore, the MCE is used to improve the quality of information given to </w:t>
      </w:r>
      <w:r w:rsidR="008642D6">
        <w:rPr>
          <w:sz w:val="24"/>
          <w:szCs w:val="24"/>
        </w:rPr>
        <w:t>the g</w:t>
      </w:r>
      <w:r w:rsidRPr="00D62BC7">
        <w:rPr>
          <w:sz w:val="24"/>
          <w:szCs w:val="24"/>
        </w:rPr>
        <w:t xml:space="preserve">rouper. </w:t>
      </w:r>
      <w:r>
        <w:rPr>
          <w:sz w:val="24"/>
          <w:szCs w:val="24"/>
        </w:rPr>
        <w:t>The MCE addresses:</w:t>
      </w:r>
    </w:p>
    <w:p w14:paraId="3A27C012" w14:textId="77777777" w:rsidR="00274936" w:rsidRPr="008F23BB" w:rsidRDefault="00274936" w:rsidP="00A11040">
      <w:pPr>
        <w:pStyle w:val="ListParagraph"/>
        <w:numPr>
          <w:ilvl w:val="0"/>
          <w:numId w:val="6"/>
        </w:numPr>
        <w:spacing w:after="0" w:line="240" w:lineRule="auto"/>
        <w:ind w:left="1135"/>
        <w:jc w:val="both"/>
        <w:rPr>
          <w:sz w:val="24"/>
          <w:szCs w:val="24"/>
        </w:rPr>
      </w:pPr>
      <w:r w:rsidRPr="008F23BB">
        <w:rPr>
          <w:sz w:val="24"/>
          <w:szCs w:val="24"/>
        </w:rPr>
        <w:t xml:space="preserve">Code edits - Examines a record for the correct use of diagnosis and procedure codes. They include basic consistency checks on the interrelationship among a patient's age, sex, and diagnoses and procedures. </w:t>
      </w:r>
    </w:p>
    <w:p w14:paraId="220047E2" w14:textId="77777777" w:rsidR="00274936" w:rsidRPr="00D62BC7" w:rsidRDefault="00274936" w:rsidP="00A11040">
      <w:pPr>
        <w:pStyle w:val="Default"/>
        <w:numPr>
          <w:ilvl w:val="0"/>
          <w:numId w:val="6"/>
        </w:numPr>
        <w:ind w:left="1135"/>
        <w:rPr>
          <w:rFonts w:ascii="Times New Roman" w:hAnsi="Times New Roman" w:cs="Times New Roman"/>
          <w:sz w:val="23"/>
          <w:szCs w:val="23"/>
        </w:rPr>
      </w:pPr>
      <w:r>
        <w:t>C</w:t>
      </w:r>
      <w:r w:rsidRPr="00D62BC7">
        <w:t>overage edits</w:t>
      </w:r>
      <w:r>
        <w:t xml:space="preserve"> - </w:t>
      </w:r>
      <w:r w:rsidRPr="00D62BC7">
        <w:rPr>
          <w:rFonts w:asciiTheme="minorHAnsi" w:hAnsiTheme="minorHAnsi" w:cstheme="minorHAnsi"/>
        </w:rPr>
        <w:t>Examines the type of patient and procedures performed to determine if the services where covered.</w:t>
      </w:r>
      <w:r w:rsidRPr="00D62BC7">
        <w:rPr>
          <w:rFonts w:ascii="Times New Roman" w:hAnsi="Times New Roman" w:cs="Times New Roman"/>
          <w:sz w:val="23"/>
          <w:szCs w:val="23"/>
        </w:rPr>
        <w:t xml:space="preserve"> </w:t>
      </w:r>
    </w:p>
    <w:p w14:paraId="7FD27EAB" w14:textId="77777777" w:rsidR="00274936" w:rsidRPr="00D62BC7" w:rsidRDefault="00274936" w:rsidP="00A11040">
      <w:pPr>
        <w:pStyle w:val="ListParagraph"/>
        <w:numPr>
          <w:ilvl w:val="0"/>
          <w:numId w:val="6"/>
        </w:numPr>
        <w:spacing w:after="0" w:line="240" w:lineRule="auto"/>
        <w:ind w:left="1135"/>
        <w:jc w:val="both"/>
        <w:rPr>
          <w:sz w:val="24"/>
          <w:szCs w:val="24"/>
        </w:rPr>
      </w:pPr>
      <w:r w:rsidRPr="00D62BC7">
        <w:rPr>
          <w:sz w:val="24"/>
          <w:szCs w:val="24"/>
        </w:rPr>
        <w:t xml:space="preserve">Clinical edits - Examines the clinical consistency of the diagnostic and procedural information on the medical claim to determine if they are clinically reasonable and, therefore, should be paid. </w:t>
      </w:r>
    </w:p>
    <w:p w14:paraId="49525098" w14:textId="77777777" w:rsidR="004D6C24" w:rsidRDefault="004D6C24" w:rsidP="00274936">
      <w:pPr>
        <w:spacing w:after="0" w:line="240" w:lineRule="auto"/>
        <w:jc w:val="both"/>
        <w:rPr>
          <w:sz w:val="24"/>
          <w:szCs w:val="24"/>
          <w:u w:val="single"/>
        </w:rPr>
      </w:pPr>
    </w:p>
    <w:p w14:paraId="75EAB567" w14:textId="1C16D014" w:rsidR="00274936" w:rsidRPr="004D6C24" w:rsidRDefault="00274936" w:rsidP="00A11040">
      <w:pPr>
        <w:pStyle w:val="ListParagraph"/>
        <w:numPr>
          <w:ilvl w:val="0"/>
          <w:numId w:val="13"/>
        </w:numPr>
        <w:spacing w:after="0" w:line="240" w:lineRule="auto"/>
        <w:jc w:val="both"/>
        <w:rPr>
          <w:b/>
          <w:sz w:val="24"/>
          <w:szCs w:val="24"/>
        </w:rPr>
      </w:pPr>
      <w:r w:rsidRPr="004D6C24">
        <w:rPr>
          <w:b/>
          <w:sz w:val="24"/>
          <w:szCs w:val="24"/>
        </w:rPr>
        <w:t xml:space="preserve">Determine the MS-DRG </w:t>
      </w:r>
      <w:r w:rsidR="000F27F9">
        <w:rPr>
          <w:b/>
          <w:sz w:val="24"/>
          <w:szCs w:val="24"/>
        </w:rPr>
        <w:t>a</w:t>
      </w:r>
      <w:r w:rsidRPr="004D6C24">
        <w:rPr>
          <w:b/>
          <w:sz w:val="24"/>
          <w:szCs w:val="24"/>
        </w:rPr>
        <w:t>ssignment (Grouper</w:t>
      </w:r>
      <w:r w:rsidR="00117858">
        <w:rPr>
          <w:b/>
          <w:sz w:val="24"/>
          <w:szCs w:val="24"/>
        </w:rPr>
        <w:t xml:space="preserve"> software</w:t>
      </w:r>
      <w:r w:rsidRPr="004D6C24">
        <w:rPr>
          <w:b/>
          <w:sz w:val="24"/>
          <w:szCs w:val="24"/>
        </w:rPr>
        <w:t>)</w:t>
      </w:r>
    </w:p>
    <w:p w14:paraId="19035D99" w14:textId="38875008" w:rsidR="00FF436F" w:rsidRDefault="00274936" w:rsidP="00FF436F">
      <w:pPr>
        <w:spacing w:after="0" w:line="240" w:lineRule="auto"/>
        <w:ind w:left="360"/>
        <w:jc w:val="both"/>
        <w:rPr>
          <w:sz w:val="24"/>
          <w:szCs w:val="24"/>
        </w:rPr>
      </w:pPr>
      <w:r w:rsidRPr="005A77BC">
        <w:rPr>
          <w:sz w:val="24"/>
          <w:szCs w:val="24"/>
        </w:rPr>
        <w:t xml:space="preserve">The software also contains the grouper logic to “group” or assign the appropriate </w:t>
      </w:r>
      <w:r w:rsidR="008642D6">
        <w:rPr>
          <w:sz w:val="24"/>
          <w:szCs w:val="24"/>
        </w:rPr>
        <w:t>MS-</w:t>
      </w:r>
      <w:r w:rsidRPr="005A77BC">
        <w:rPr>
          <w:sz w:val="24"/>
          <w:szCs w:val="24"/>
        </w:rPr>
        <w:t xml:space="preserve">DRG </w:t>
      </w:r>
      <w:r>
        <w:rPr>
          <w:sz w:val="24"/>
          <w:szCs w:val="24"/>
        </w:rPr>
        <w:t xml:space="preserve">number </w:t>
      </w:r>
      <w:r w:rsidR="000F27F9">
        <w:rPr>
          <w:sz w:val="24"/>
          <w:szCs w:val="24"/>
        </w:rPr>
        <w:t xml:space="preserve">for </w:t>
      </w:r>
      <w:r w:rsidRPr="005A77BC">
        <w:rPr>
          <w:sz w:val="24"/>
          <w:szCs w:val="24"/>
        </w:rPr>
        <w:t>each bill</w:t>
      </w:r>
      <w:r>
        <w:rPr>
          <w:sz w:val="24"/>
          <w:szCs w:val="24"/>
        </w:rPr>
        <w:t>, using the data elements reported by the hospital</w:t>
      </w:r>
      <w:r w:rsidRPr="005A77BC">
        <w:rPr>
          <w:sz w:val="24"/>
          <w:szCs w:val="24"/>
        </w:rPr>
        <w:t xml:space="preserve">. </w:t>
      </w:r>
      <w:r w:rsidR="00FF436F">
        <w:rPr>
          <w:sz w:val="24"/>
          <w:szCs w:val="24"/>
        </w:rPr>
        <w:t>Various companies also offer</w:t>
      </w:r>
      <w:r w:rsidR="000A037C">
        <w:rPr>
          <w:sz w:val="24"/>
          <w:szCs w:val="24"/>
        </w:rPr>
        <w:t xml:space="preserve"> electronic or paper</w:t>
      </w:r>
      <w:r w:rsidR="00FF436F">
        <w:rPr>
          <w:sz w:val="24"/>
          <w:szCs w:val="24"/>
        </w:rPr>
        <w:t xml:space="preserve"> manuals for purchase which allows the DRG assignment to be manually calculated. </w:t>
      </w:r>
    </w:p>
    <w:p w14:paraId="3BB8944F" w14:textId="77777777" w:rsidR="009A3364" w:rsidRDefault="009A3364" w:rsidP="001E78FE">
      <w:pPr>
        <w:spacing w:after="0" w:line="240" w:lineRule="auto"/>
        <w:ind w:left="360"/>
        <w:jc w:val="both"/>
        <w:rPr>
          <w:sz w:val="24"/>
          <w:szCs w:val="24"/>
        </w:rPr>
      </w:pPr>
    </w:p>
    <w:p w14:paraId="33835722" w14:textId="547CA1AA" w:rsidR="009A3364" w:rsidRDefault="009A3364" w:rsidP="001E78FE">
      <w:pPr>
        <w:spacing w:after="0" w:line="240" w:lineRule="auto"/>
        <w:ind w:left="360"/>
        <w:jc w:val="both"/>
        <w:rPr>
          <w:sz w:val="24"/>
          <w:szCs w:val="24"/>
        </w:rPr>
      </w:pPr>
      <w:r w:rsidRPr="009A3364">
        <w:rPr>
          <w:sz w:val="24"/>
          <w:szCs w:val="24"/>
        </w:rPr>
        <w:lastRenderedPageBreak/>
        <w:t xml:space="preserve">One MS-DRG is assigned to each inpatient stay. The MS-DRGs are assigned using the principal diagnosis and additional diagnoses, the principal procedure and additional procedures, sex and discharge status. </w:t>
      </w:r>
      <w:r w:rsidR="00A8151D">
        <w:rPr>
          <w:sz w:val="24"/>
          <w:szCs w:val="24"/>
        </w:rPr>
        <w:t>Secondary diagnoses that describe complications and co-morbid conditions (CC) or major complications and co-morbid conditions (MCC) can affect DRG assignment.</w:t>
      </w:r>
    </w:p>
    <w:p w14:paraId="74807729" w14:textId="7F6865A3" w:rsidR="009A3364" w:rsidRDefault="009A3364" w:rsidP="001E78FE">
      <w:pPr>
        <w:spacing w:after="0" w:line="240" w:lineRule="auto"/>
        <w:ind w:left="360"/>
        <w:jc w:val="both"/>
        <w:rPr>
          <w:sz w:val="24"/>
          <w:szCs w:val="24"/>
        </w:rPr>
      </w:pPr>
    </w:p>
    <w:p w14:paraId="63102742" w14:textId="363ED351" w:rsidR="009A3364" w:rsidRDefault="00C2500E" w:rsidP="001E78FE">
      <w:pPr>
        <w:spacing w:after="0" w:line="240" w:lineRule="auto"/>
        <w:ind w:left="360"/>
        <w:jc w:val="both"/>
        <w:rPr>
          <w:sz w:val="24"/>
          <w:szCs w:val="24"/>
        </w:rPr>
      </w:pPr>
      <w:r w:rsidRPr="00C2500E">
        <w:rPr>
          <w:sz w:val="24"/>
          <w:szCs w:val="24"/>
        </w:rPr>
        <w:t>With some exceptions, all principal diagnoses are divided into one of 25 Major Diagnostic Categories (MDC</w:t>
      </w:r>
      <w:r w:rsidR="00E3398A">
        <w:rPr>
          <w:sz w:val="24"/>
          <w:szCs w:val="24"/>
        </w:rPr>
        <w:t>s</w:t>
      </w:r>
      <w:r w:rsidRPr="00C2500E">
        <w:rPr>
          <w:sz w:val="24"/>
          <w:szCs w:val="24"/>
        </w:rPr>
        <w:t>) that generally correspond to a single organ system. Examples of MDCs include:</w:t>
      </w:r>
    </w:p>
    <w:p w14:paraId="5774BA77" w14:textId="3A124546" w:rsidR="00C2500E" w:rsidRPr="008942DC" w:rsidRDefault="00C2500E" w:rsidP="008942DC">
      <w:pPr>
        <w:pStyle w:val="ListParagraph"/>
        <w:numPr>
          <w:ilvl w:val="0"/>
          <w:numId w:val="28"/>
        </w:numPr>
        <w:spacing w:after="0" w:line="240" w:lineRule="auto"/>
        <w:jc w:val="both"/>
        <w:rPr>
          <w:sz w:val="24"/>
          <w:szCs w:val="24"/>
        </w:rPr>
      </w:pPr>
      <w:r w:rsidRPr="008942DC">
        <w:rPr>
          <w:sz w:val="24"/>
          <w:szCs w:val="24"/>
        </w:rPr>
        <w:t xml:space="preserve">MDC 1 Diseases and Disorders of the Nervous System </w:t>
      </w:r>
    </w:p>
    <w:p w14:paraId="342242F2" w14:textId="69F86605" w:rsidR="00C2500E" w:rsidRPr="008942DC" w:rsidRDefault="00C2500E" w:rsidP="008942DC">
      <w:pPr>
        <w:pStyle w:val="ListParagraph"/>
        <w:numPr>
          <w:ilvl w:val="0"/>
          <w:numId w:val="28"/>
        </w:numPr>
        <w:spacing w:after="0" w:line="240" w:lineRule="auto"/>
        <w:jc w:val="both"/>
        <w:rPr>
          <w:sz w:val="24"/>
          <w:szCs w:val="24"/>
        </w:rPr>
      </w:pPr>
      <w:r w:rsidRPr="008942DC">
        <w:rPr>
          <w:sz w:val="24"/>
          <w:szCs w:val="24"/>
        </w:rPr>
        <w:t xml:space="preserve">MDC 2 Diseases and Disorders of the Eye </w:t>
      </w:r>
    </w:p>
    <w:p w14:paraId="2BC8929A" w14:textId="796EB49D" w:rsidR="00C2500E" w:rsidRPr="008942DC" w:rsidRDefault="00C2500E" w:rsidP="008942DC">
      <w:pPr>
        <w:pStyle w:val="ListParagraph"/>
        <w:numPr>
          <w:ilvl w:val="0"/>
          <w:numId w:val="28"/>
        </w:numPr>
        <w:spacing w:after="0" w:line="240" w:lineRule="auto"/>
        <w:jc w:val="both"/>
        <w:rPr>
          <w:sz w:val="24"/>
          <w:szCs w:val="24"/>
        </w:rPr>
      </w:pPr>
      <w:r w:rsidRPr="008942DC">
        <w:rPr>
          <w:sz w:val="24"/>
          <w:szCs w:val="24"/>
        </w:rPr>
        <w:t>MDC 3 Diseases and Disorders of the Ear, Nose, Mouth and Throat</w:t>
      </w:r>
    </w:p>
    <w:p w14:paraId="69C6062A" w14:textId="7E16EF1A" w:rsidR="009A3364" w:rsidRDefault="009A3364" w:rsidP="001E78FE">
      <w:pPr>
        <w:spacing w:after="0" w:line="240" w:lineRule="auto"/>
        <w:ind w:left="360"/>
        <w:jc w:val="both"/>
        <w:rPr>
          <w:sz w:val="24"/>
          <w:szCs w:val="24"/>
        </w:rPr>
      </w:pPr>
    </w:p>
    <w:p w14:paraId="50DFB0B4" w14:textId="0CE33417" w:rsidR="00C2500E" w:rsidRDefault="00C46596" w:rsidP="001E78FE">
      <w:pPr>
        <w:spacing w:after="0" w:line="240" w:lineRule="auto"/>
        <w:ind w:left="360"/>
        <w:jc w:val="both"/>
        <w:rPr>
          <w:sz w:val="24"/>
          <w:szCs w:val="24"/>
        </w:rPr>
      </w:pPr>
      <w:r>
        <w:rPr>
          <w:sz w:val="24"/>
          <w:szCs w:val="24"/>
        </w:rPr>
        <w:t xml:space="preserve">The </w:t>
      </w:r>
      <w:r w:rsidR="00C2500E">
        <w:rPr>
          <w:sz w:val="24"/>
          <w:szCs w:val="24"/>
        </w:rPr>
        <w:t>s</w:t>
      </w:r>
      <w:r w:rsidR="00A8151D">
        <w:rPr>
          <w:sz w:val="24"/>
          <w:szCs w:val="24"/>
        </w:rPr>
        <w:t>ection below</w:t>
      </w:r>
      <w:r w:rsidR="00C2500E">
        <w:rPr>
          <w:sz w:val="24"/>
          <w:szCs w:val="24"/>
        </w:rPr>
        <w:t xml:space="preserve"> </w:t>
      </w:r>
      <w:r>
        <w:rPr>
          <w:sz w:val="24"/>
          <w:szCs w:val="24"/>
        </w:rPr>
        <w:t>describe</w:t>
      </w:r>
      <w:r w:rsidR="00A8151D">
        <w:rPr>
          <w:sz w:val="24"/>
          <w:szCs w:val="24"/>
        </w:rPr>
        <w:t>s</w:t>
      </w:r>
      <w:r>
        <w:rPr>
          <w:sz w:val="24"/>
          <w:szCs w:val="24"/>
        </w:rPr>
        <w:t xml:space="preserve"> the </w:t>
      </w:r>
      <w:r w:rsidR="00A8151D">
        <w:rPr>
          <w:sz w:val="24"/>
          <w:szCs w:val="24"/>
        </w:rPr>
        <w:t xml:space="preserve">general </w:t>
      </w:r>
      <w:r>
        <w:rPr>
          <w:sz w:val="24"/>
          <w:szCs w:val="24"/>
        </w:rPr>
        <w:t xml:space="preserve">steps </w:t>
      </w:r>
      <w:r w:rsidR="00C2500E">
        <w:rPr>
          <w:sz w:val="24"/>
          <w:szCs w:val="24"/>
        </w:rPr>
        <w:t>the software uses to determine the correct MS-DRG.</w:t>
      </w:r>
    </w:p>
    <w:p w14:paraId="59841CAB" w14:textId="597A41D4" w:rsidR="00C2500E" w:rsidRDefault="00C2500E" w:rsidP="001E78FE">
      <w:pPr>
        <w:spacing w:after="0" w:line="240" w:lineRule="auto"/>
        <w:ind w:left="360"/>
        <w:jc w:val="both"/>
        <w:rPr>
          <w:sz w:val="24"/>
          <w:szCs w:val="24"/>
        </w:rPr>
      </w:pPr>
    </w:p>
    <w:p w14:paraId="423C4FDC" w14:textId="023F9AB8" w:rsidR="00502BA1" w:rsidRDefault="00502BA1" w:rsidP="001E78FE">
      <w:pPr>
        <w:spacing w:after="0" w:line="240" w:lineRule="auto"/>
        <w:ind w:left="360"/>
        <w:jc w:val="both"/>
        <w:rPr>
          <w:sz w:val="24"/>
          <w:szCs w:val="24"/>
        </w:rPr>
      </w:pPr>
      <w:r>
        <w:rPr>
          <w:noProof/>
        </w:rPr>
        <w:lastRenderedPageBreak/>
        <w:drawing>
          <wp:inline distT="0" distB="0" distL="0" distR="0" wp14:anchorId="5D1F2CDB" wp14:editId="1008A741">
            <wp:extent cx="5600700" cy="629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0700" cy="6296025"/>
                    </a:xfrm>
                    <a:prstGeom prst="rect">
                      <a:avLst/>
                    </a:prstGeom>
                  </pic:spPr>
                </pic:pic>
              </a:graphicData>
            </a:graphic>
          </wp:inline>
        </w:drawing>
      </w:r>
    </w:p>
    <w:p w14:paraId="4225ABA1" w14:textId="3A362504" w:rsidR="00502BA1" w:rsidRDefault="00502BA1" w:rsidP="001E78FE">
      <w:pPr>
        <w:spacing w:after="0" w:line="240" w:lineRule="auto"/>
        <w:ind w:left="360"/>
        <w:jc w:val="both"/>
        <w:rPr>
          <w:sz w:val="24"/>
          <w:szCs w:val="24"/>
        </w:rPr>
      </w:pPr>
    </w:p>
    <w:p w14:paraId="4A36E903" w14:textId="77777777" w:rsidR="00502BA1" w:rsidRDefault="00502BA1" w:rsidP="001E78FE">
      <w:pPr>
        <w:spacing w:after="0" w:line="240" w:lineRule="auto"/>
        <w:ind w:left="360"/>
        <w:jc w:val="both"/>
        <w:rPr>
          <w:sz w:val="24"/>
          <w:szCs w:val="24"/>
        </w:rPr>
      </w:pPr>
    </w:p>
    <w:p w14:paraId="458A07F9" w14:textId="233D973B" w:rsidR="00C46596" w:rsidRDefault="00C46596" w:rsidP="001E78FE">
      <w:pPr>
        <w:spacing w:after="0" w:line="240" w:lineRule="auto"/>
        <w:ind w:left="360"/>
        <w:jc w:val="both"/>
        <w:rPr>
          <w:sz w:val="24"/>
          <w:szCs w:val="24"/>
        </w:rPr>
      </w:pPr>
      <w:r>
        <w:rPr>
          <w:sz w:val="24"/>
          <w:szCs w:val="24"/>
        </w:rPr>
        <w:t>Step 1 – Determine if the bill qualifies for a pre- major diagnostic category (MDC) MS-DRG</w:t>
      </w:r>
      <w:r w:rsidR="00E3398A">
        <w:rPr>
          <w:sz w:val="24"/>
          <w:szCs w:val="24"/>
        </w:rPr>
        <w:t>.</w:t>
      </w:r>
    </w:p>
    <w:p w14:paraId="24D516EE" w14:textId="7745D892" w:rsidR="00C46596" w:rsidRDefault="00C46596" w:rsidP="00C46596">
      <w:pPr>
        <w:spacing w:after="0" w:line="240" w:lineRule="auto"/>
        <w:ind w:left="360"/>
        <w:jc w:val="both"/>
        <w:rPr>
          <w:sz w:val="24"/>
          <w:szCs w:val="24"/>
        </w:rPr>
      </w:pPr>
      <w:r>
        <w:rPr>
          <w:sz w:val="24"/>
          <w:szCs w:val="24"/>
        </w:rPr>
        <w:t>B</w:t>
      </w:r>
      <w:r w:rsidRPr="00C2500E">
        <w:rPr>
          <w:sz w:val="24"/>
          <w:szCs w:val="24"/>
        </w:rPr>
        <w:t xml:space="preserve">ecause some patient groups are extremely resource intensive, they are put into a separate group, before MDC assignment, based on the </w:t>
      </w:r>
      <w:r w:rsidR="00E3398A">
        <w:rPr>
          <w:sz w:val="24"/>
          <w:szCs w:val="24"/>
        </w:rPr>
        <w:t>operating room (</w:t>
      </w:r>
      <w:r w:rsidRPr="00C2500E">
        <w:rPr>
          <w:sz w:val="24"/>
          <w:szCs w:val="24"/>
        </w:rPr>
        <w:t>OR</w:t>
      </w:r>
      <w:r w:rsidR="00E3398A">
        <w:rPr>
          <w:sz w:val="24"/>
          <w:szCs w:val="24"/>
        </w:rPr>
        <w:t>)</w:t>
      </w:r>
      <w:r w:rsidRPr="00C2500E">
        <w:rPr>
          <w:sz w:val="24"/>
          <w:szCs w:val="24"/>
        </w:rPr>
        <w:t xml:space="preserve"> procedure rather than principal diagnosis. This group is called pre-MDC MS-DRGs</w:t>
      </w:r>
      <w:r w:rsidR="00BB205C">
        <w:rPr>
          <w:sz w:val="24"/>
          <w:szCs w:val="24"/>
        </w:rPr>
        <w:t xml:space="preserve">. </w:t>
      </w:r>
      <w:r w:rsidRPr="00C2500E">
        <w:rPr>
          <w:sz w:val="24"/>
          <w:szCs w:val="24"/>
        </w:rPr>
        <w:t xml:space="preserve">The pre-MDC MS-DRGs include </w:t>
      </w:r>
      <w:r w:rsidR="00E3398A">
        <w:rPr>
          <w:sz w:val="24"/>
          <w:szCs w:val="24"/>
        </w:rPr>
        <w:t xml:space="preserve">services such as </w:t>
      </w:r>
      <w:r w:rsidRPr="00C2500E">
        <w:rPr>
          <w:sz w:val="24"/>
          <w:szCs w:val="24"/>
        </w:rPr>
        <w:t xml:space="preserve">organ transplants, bone marrow transplants and tracheostomy cases. If a procedure places a case into a pre-MDC, the MS-DRG is assigned outside of the MDC. For example, MS-DRGs 001 and 002, Heart Transplant or Implant of Heart Assist System, are assigned based on the procedure performed pre-MDC and the presence or absence of an </w:t>
      </w:r>
      <w:r w:rsidRPr="00C2500E">
        <w:rPr>
          <w:sz w:val="24"/>
          <w:szCs w:val="24"/>
        </w:rPr>
        <w:lastRenderedPageBreak/>
        <w:t>MCC. The principal diagnosis is not taken into consideration.</w:t>
      </w:r>
      <w:r>
        <w:rPr>
          <w:sz w:val="24"/>
          <w:szCs w:val="24"/>
        </w:rPr>
        <w:t xml:space="preserve"> If the bill does not qualify for pre-MDC, go to step 2.</w:t>
      </w:r>
    </w:p>
    <w:p w14:paraId="26E4641F" w14:textId="5601F9B2" w:rsidR="00C46596" w:rsidRDefault="00C46596" w:rsidP="001E78FE">
      <w:pPr>
        <w:spacing w:after="0" w:line="240" w:lineRule="auto"/>
        <w:ind w:left="360"/>
        <w:jc w:val="both"/>
        <w:rPr>
          <w:sz w:val="24"/>
          <w:szCs w:val="24"/>
        </w:rPr>
      </w:pPr>
    </w:p>
    <w:p w14:paraId="7E565CA7" w14:textId="4D925DE3" w:rsidR="00C2500E" w:rsidRDefault="00C2500E" w:rsidP="001E78FE">
      <w:pPr>
        <w:spacing w:after="0" w:line="240" w:lineRule="auto"/>
        <w:ind w:left="360"/>
        <w:jc w:val="both"/>
        <w:rPr>
          <w:sz w:val="24"/>
          <w:szCs w:val="24"/>
        </w:rPr>
      </w:pPr>
      <w:r>
        <w:rPr>
          <w:sz w:val="24"/>
          <w:szCs w:val="24"/>
        </w:rPr>
        <w:t xml:space="preserve">Step </w:t>
      </w:r>
      <w:r w:rsidR="00C46596">
        <w:rPr>
          <w:sz w:val="24"/>
          <w:szCs w:val="24"/>
        </w:rPr>
        <w:t>2</w:t>
      </w:r>
      <w:r>
        <w:rPr>
          <w:sz w:val="24"/>
          <w:szCs w:val="24"/>
        </w:rPr>
        <w:t xml:space="preserve"> – Determine </w:t>
      </w:r>
      <w:r w:rsidR="00C46596">
        <w:rPr>
          <w:sz w:val="24"/>
          <w:szCs w:val="24"/>
        </w:rPr>
        <w:t xml:space="preserve">the </w:t>
      </w:r>
      <w:r>
        <w:rPr>
          <w:sz w:val="24"/>
          <w:szCs w:val="24"/>
        </w:rPr>
        <w:t>MD</w:t>
      </w:r>
      <w:r w:rsidR="00C46596">
        <w:rPr>
          <w:sz w:val="24"/>
          <w:szCs w:val="24"/>
        </w:rPr>
        <w:t>C</w:t>
      </w:r>
      <w:r w:rsidR="00BB205C">
        <w:rPr>
          <w:sz w:val="24"/>
          <w:szCs w:val="24"/>
        </w:rPr>
        <w:t>.</w:t>
      </w:r>
    </w:p>
    <w:p w14:paraId="6A667B39" w14:textId="42326D39" w:rsidR="00C46596" w:rsidRDefault="00C46596" w:rsidP="001E78FE">
      <w:pPr>
        <w:spacing w:after="0" w:line="240" w:lineRule="auto"/>
        <w:ind w:left="360"/>
        <w:jc w:val="both"/>
        <w:rPr>
          <w:sz w:val="24"/>
          <w:szCs w:val="24"/>
        </w:rPr>
      </w:pPr>
      <w:r>
        <w:rPr>
          <w:sz w:val="24"/>
          <w:szCs w:val="24"/>
        </w:rPr>
        <w:t>Use the principal diagnosis to determine the MDC.</w:t>
      </w:r>
    </w:p>
    <w:p w14:paraId="1CB33218" w14:textId="77777777" w:rsidR="00C46596" w:rsidRDefault="00C46596" w:rsidP="001E78FE">
      <w:pPr>
        <w:spacing w:after="0" w:line="240" w:lineRule="auto"/>
        <w:ind w:left="360"/>
        <w:jc w:val="both"/>
        <w:rPr>
          <w:sz w:val="24"/>
          <w:szCs w:val="24"/>
        </w:rPr>
      </w:pPr>
    </w:p>
    <w:p w14:paraId="4232948E" w14:textId="775D2643" w:rsidR="002D0999" w:rsidRDefault="002D0999" w:rsidP="001E78FE">
      <w:pPr>
        <w:spacing w:after="0" w:line="240" w:lineRule="auto"/>
        <w:ind w:left="360"/>
        <w:jc w:val="both"/>
        <w:rPr>
          <w:sz w:val="24"/>
          <w:szCs w:val="24"/>
        </w:rPr>
      </w:pPr>
      <w:r>
        <w:rPr>
          <w:sz w:val="24"/>
          <w:szCs w:val="24"/>
        </w:rPr>
        <w:t xml:space="preserve">Step </w:t>
      </w:r>
      <w:r w:rsidR="00C46596">
        <w:rPr>
          <w:sz w:val="24"/>
          <w:szCs w:val="24"/>
        </w:rPr>
        <w:t>3</w:t>
      </w:r>
      <w:r>
        <w:rPr>
          <w:sz w:val="24"/>
          <w:szCs w:val="24"/>
        </w:rPr>
        <w:t xml:space="preserve"> – Determine if the bill contains an o</w:t>
      </w:r>
      <w:r w:rsidRPr="002D0999">
        <w:rPr>
          <w:sz w:val="24"/>
          <w:szCs w:val="24"/>
        </w:rPr>
        <w:t>perating room (OR) procedure</w:t>
      </w:r>
      <w:r w:rsidR="00F523F4">
        <w:rPr>
          <w:sz w:val="24"/>
          <w:szCs w:val="24"/>
        </w:rPr>
        <w:t>.</w:t>
      </w:r>
    </w:p>
    <w:p w14:paraId="72A02DC5" w14:textId="3FCAB9FD" w:rsidR="002D0999" w:rsidRDefault="002D0999" w:rsidP="001E78FE">
      <w:pPr>
        <w:spacing w:after="0" w:line="240" w:lineRule="auto"/>
        <w:ind w:left="360"/>
        <w:jc w:val="both"/>
        <w:rPr>
          <w:sz w:val="24"/>
          <w:szCs w:val="24"/>
        </w:rPr>
      </w:pPr>
      <w:r w:rsidRPr="002D0999">
        <w:rPr>
          <w:sz w:val="24"/>
          <w:szCs w:val="24"/>
        </w:rPr>
        <w:t>If a case is not assigned to a pre-MDC, patients are then classified by whether or not they had an OR procedure within each MDC. In some instances there are also non-OR procedures that may affect the MS-DRG assignment and may also be taken into consideration. There is a surgical hierarchy within each MDC and, in most instances, patients with multiple procedures are assigned to the most resource-intensive MS-DRG. An example of an MS-DRG assigned on the basis of an OR procedure is 470, Major Joint Replacement or Reattachment of Lower Extremity without MCC.</w:t>
      </w:r>
      <w:r w:rsidR="001C1234">
        <w:rPr>
          <w:sz w:val="24"/>
          <w:szCs w:val="24"/>
        </w:rPr>
        <w:t xml:space="preserve"> If there was no OR procedure reported, go to step 4.</w:t>
      </w:r>
    </w:p>
    <w:p w14:paraId="55F94515" w14:textId="4E53FEA2" w:rsidR="002D0999" w:rsidRDefault="002D0999" w:rsidP="001E78FE">
      <w:pPr>
        <w:spacing w:after="0" w:line="240" w:lineRule="auto"/>
        <w:ind w:left="360"/>
        <w:jc w:val="both"/>
        <w:rPr>
          <w:sz w:val="24"/>
          <w:szCs w:val="24"/>
        </w:rPr>
      </w:pPr>
    </w:p>
    <w:p w14:paraId="4D4FC078" w14:textId="0BB7AC67" w:rsidR="002D0999" w:rsidRDefault="002D0999" w:rsidP="002D0999">
      <w:pPr>
        <w:spacing w:after="0" w:line="240" w:lineRule="auto"/>
        <w:ind w:left="360"/>
        <w:jc w:val="both"/>
        <w:rPr>
          <w:sz w:val="24"/>
          <w:szCs w:val="24"/>
        </w:rPr>
      </w:pPr>
      <w:r>
        <w:rPr>
          <w:sz w:val="24"/>
          <w:szCs w:val="24"/>
        </w:rPr>
        <w:t xml:space="preserve">Step </w:t>
      </w:r>
      <w:r w:rsidR="00C46596">
        <w:rPr>
          <w:sz w:val="24"/>
          <w:szCs w:val="24"/>
        </w:rPr>
        <w:t>4</w:t>
      </w:r>
      <w:r>
        <w:rPr>
          <w:sz w:val="24"/>
          <w:szCs w:val="24"/>
        </w:rPr>
        <w:t xml:space="preserve"> – Use </w:t>
      </w:r>
      <w:r w:rsidR="00BB205C">
        <w:rPr>
          <w:sz w:val="24"/>
          <w:szCs w:val="24"/>
        </w:rPr>
        <w:t xml:space="preserve">the </w:t>
      </w:r>
      <w:r>
        <w:rPr>
          <w:sz w:val="24"/>
          <w:szCs w:val="24"/>
        </w:rPr>
        <w:t>p</w:t>
      </w:r>
      <w:r w:rsidRPr="002D0999">
        <w:rPr>
          <w:sz w:val="24"/>
          <w:szCs w:val="24"/>
        </w:rPr>
        <w:t>rincipal diagnosis</w:t>
      </w:r>
      <w:r>
        <w:rPr>
          <w:sz w:val="24"/>
          <w:szCs w:val="24"/>
        </w:rPr>
        <w:t xml:space="preserve"> to determine DRG</w:t>
      </w:r>
      <w:r w:rsidR="00F523F4">
        <w:rPr>
          <w:sz w:val="24"/>
          <w:szCs w:val="24"/>
        </w:rPr>
        <w:t>.</w:t>
      </w:r>
    </w:p>
    <w:p w14:paraId="075C66C5" w14:textId="07979224" w:rsidR="002D0999" w:rsidRDefault="002D0999" w:rsidP="002D0999">
      <w:pPr>
        <w:spacing w:after="0" w:line="240" w:lineRule="auto"/>
        <w:ind w:left="360"/>
        <w:jc w:val="both"/>
        <w:rPr>
          <w:sz w:val="24"/>
          <w:szCs w:val="24"/>
        </w:rPr>
      </w:pPr>
      <w:r w:rsidRPr="002D0999">
        <w:rPr>
          <w:sz w:val="24"/>
          <w:szCs w:val="24"/>
        </w:rPr>
        <w:t>If no OR procedure is performed, the case is classified into medical categories by the principal diagnosis. Medical categories include neoplasms, specific conditions related to the anatomical site, symptoms and other diagnoses. For example, MS-DRG 064, Intracranial hemorrhage or cerebral infarction with MCC, is assigned based on the principal diagnosis because no OR procedure is performed</w:t>
      </w:r>
    </w:p>
    <w:p w14:paraId="4149FBF7" w14:textId="77777777" w:rsidR="002D0999" w:rsidRDefault="002D0999" w:rsidP="001E78FE">
      <w:pPr>
        <w:spacing w:after="0" w:line="240" w:lineRule="auto"/>
        <w:ind w:left="360"/>
        <w:jc w:val="both"/>
        <w:rPr>
          <w:sz w:val="24"/>
          <w:szCs w:val="24"/>
        </w:rPr>
      </w:pPr>
    </w:p>
    <w:p w14:paraId="570B23BF" w14:textId="50B27882" w:rsidR="001E78FE" w:rsidRDefault="00FF436F" w:rsidP="001E78FE">
      <w:pPr>
        <w:spacing w:after="0" w:line="240" w:lineRule="auto"/>
        <w:ind w:left="360"/>
        <w:jc w:val="both"/>
        <w:rPr>
          <w:sz w:val="24"/>
          <w:szCs w:val="24"/>
        </w:rPr>
      </w:pPr>
      <w:r w:rsidRPr="00FF436F">
        <w:rPr>
          <w:sz w:val="24"/>
          <w:szCs w:val="24"/>
        </w:rPr>
        <w:t xml:space="preserve">Each DRG is assigned a relative weight based on the average amount of resources it takes to care for a patient assigned to that DRG. </w:t>
      </w:r>
      <w:r w:rsidR="001E78FE" w:rsidRPr="001E78FE">
        <w:rPr>
          <w:sz w:val="24"/>
          <w:szCs w:val="24"/>
        </w:rPr>
        <w:t>The average relative weight is 1.0. DRGs with a relative weight of less than 1.0 are less resource-intensive to treat and are generally less costly to treat. DRG’s with a relative weight of more than 1.0 generally require more resources to treat and are more expensive to treat. The higher the relative weight, the more resources are required to treat a patient with that DRG. This is why very serious medical situations, such as organ transplants, have the highest DRG weight.</w:t>
      </w:r>
    </w:p>
    <w:p w14:paraId="5244099E" w14:textId="77777777" w:rsidR="001E78FE" w:rsidRDefault="001E78FE" w:rsidP="00FF436F">
      <w:pPr>
        <w:spacing w:after="0" w:line="240" w:lineRule="auto"/>
        <w:ind w:left="360"/>
        <w:jc w:val="both"/>
        <w:rPr>
          <w:sz w:val="24"/>
          <w:szCs w:val="24"/>
        </w:rPr>
      </w:pPr>
    </w:p>
    <w:p w14:paraId="4FAFCAB8" w14:textId="12947D2B" w:rsidR="00FF436F" w:rsidRPr="00FF436F" w:rsidRDefault="00FF436F" w:rsidP="00FF436F">
      <w:pPr>
        <w:spacing w:after="0" w:line="240" w:lineRule="auto"/>
        <w:ind w:left="360"/>
        <w:jc w:val="both"/>
        <w:rPr>
          <w:sz w:val="24"/>
          <w:szCs w:val="24"/>
        </w:rPr>
      </w:pPr>
      <w:r>
        <w:rPr>
          <w:sz w:val="24"/>
          <w:szCs w:val="24"/>
        </w:rPr>
        <w:t>T</w:t>
      </w:r>
      <w:r w:rsidRPr="00FF436F">
        <w:rPr>
          <w:sz w:val="24"/>
          <w:szCs w:val="24"/>
        </w:rPr>
        <w:t xml:space="preserve">he relative weight for </w:t>
      </w:r>
      <w:r>
        <w:rPr>
          <w:sz w:val="24"/>
          <w:szCs w:val="24"/>
        </w:rPr>
        <w:t>a</w:t>
      </w:r>
      <w:r w:rsidRPr="00FF436F">
        <w:rPr>
          <w:sz w:val="24"/>
          <w:szCs w:val="24"/>
        </w:rPr>
        <w:t xml:space="preserve"> particular DRG</w:t>
      </w:r>
      <w:r>
        <w:rPr>
          <w:sz w:val="24"/>
          <w:szCs w:val="24"/>
        </w:rPr>
        <w:t xml:space="preserve"> can be found </w:t>
      </w:r>
      <w:r w:rsidRPr="00FF436F">
        <w:rPr>
          <w:sz w:val="24"/>
          <w:szCs w:val="24"/>
        </w:rPr>
        <w:t>by downloading a</w:t>
      </w:r>
      <w:r>
        <w:rPr>
          <w:sz w:val="24"/>
          <w:szCs w:val="24"/>
        </w:rPr>
        <w:t xml:space="preserve">n Excel document </w:t>
      </w:r>
      <w:r w:rsidRPr="00FF436F">
        <w:rPr>
          <w:sz w:val="24"/>
          <w:szCs w:val="24"/>
        </w:rPr>
        <w:t>provided by the Centers for Medicare and Medicaid Services:</w:t>
      </w:r>
    </w:p>
    <w:p w14:paraId="396A676F" w14:textId="409E4F6D" w:rsidR="00BB205C" w:rsidRPr="00BB205C" w:rsidRDefault="00BB205C" w:rsidP="00BB205C">
      <w:pPr>
        <w:pStyle w:val="ListParagraph"/>
        <w:numPr>
          <w:ilvl w:val="0"/>
          <w:numId w:val="19"/>
        </w:numPr>
        <w:spacing w:after="0" w:line="240" w:lineRule="auto"/>
        <w:jc w:val="both"/>
        <w:rPr>
          <w:sz w:val="24"/>
          <w:szCs w:val="24"/>
        </w:rPr>
      </w:pPr>
      <w:r w:rsidRPr="00BB205C">
        <w:rPr>
          <w:sz w:val="24"/>
          <w:szCs w:val="24"/>
        </w:rPr>
        <w:t xml:space="preserve">Click </w:t>
      </w:r>
      <w:hyperlink r:id="rId21" w:history="1">
        <w:r w:rsidRPr="00BB205C">
          <w:rPr>
            <w:rStyle w:val="Hyperlink"/>
            <w:sz w:val="24"/>
            <w:szCs w:val="24"/>
          </w:rPr>
          <w:t>here</w:t>
        </w:r>
      </w:hyperlink>
      <w:r w:rsidRPr="00BB205C">
        <w:rPr>
          <w:sz w:val="24"/>
          <w:szCs w:val="24"/>
        </w:rPr>
        <w:t xml:space="preserve"> to </w:t>
      </w:r>
      <w:r>
        <w:rPr>
          <w:sz w:val="24"/>
          <w:szCs w:val="24"/>
        </w:rPr>
        <w:t>go to</w:t>
      </w:r>
      <w:r w:rsidRPr="00BB205C">
        <w:rPr>
          <w:sz w:val="24"/>
          <w:szCs w:val="24"/>
        </w:rPr>
        <w:t xml:space="preserve"> the Medicare final inpatient rules by rate year</w:t>
      </w:r>
      <w:r>
        <w:rPr>
          <w:sz w:val="24"/>
          <w:szCs w:val="24"/>
        </w:rPr>
        <w:t xml:space="preserve"> and select the appropriate year.</w:t>
      </w:r>
    </w:p>
    <w:p w14:paraId="3EEDDF81" w14:textId="38A4B823" w:rsidR="00FF436F" w:rsidRPr="00FF436F" w:rsidRDefault="00FF436F" w:rsidP="00A11040">
      <w:pPr>
        <w:pStyle w:val="ListParagraph"/>
        <w:numPr>
          <w:ilvl w:val="0"/>
          <w:numId w:val="19"/>
        </w:numPr>
        <w:spacing w:after="0" w:line="240" w:lineRule="auto"/>
        <w:jc w:val="both"/>
        <w:rPr>
          <w:sz w:val="24"/>
          <w:szCs w:val="24"/>
        </w:rPr>
      </w:pPr>
      <w:r w:rsidRPr="00FF436F">
        <w:rPr>
          <w:sz w:val="24"/>
          <w:szCs w:val="24"/>
        </w:rPr>
        <w:t>Scroll down to "Tables."</w:t>
      </w:r>
    </w:p>
    <w:p w14:paraId="5523CF9F" w14:textId="718DB830" w:rsidR="00FF436F" w:rsidRPr="00FF436F" w:rsidRDefault="00FF436F" w:rsidP="00A11040">
      <w:pPr>
        <w:pStyle w:val="ListParagraph"/>
        <w:numPr>
          <w:ilvl w:val="0"/>
          <w:numId w:val="19"/>
        </w:numPr>
        <w:spacing w:after="0" w:line="240" w:lineRule="auto"/>
        <w:jc w:val="both"/>
        <w:rPr>
          <w:sz w:val="24"/>
          <w:szCs w:val="24"/>
        </w:rPr>
      </w:pPr>
      <w:r w:rsidRPr="00FF436F">
        <w:rPr>
          <w:sz w:val="24"/>
          <w:szCs w:val="24"/>
        </w:rPr>
        <w:t>Download</w:t>
      </w:r>
      <w:r w:rsidR="00BB205C">
        <w:rPr>
          <w:sz w:val="24"/>
          <w:szCs w:val="24"/>
        </w:rPr>
        <w:t xml:space="preserve"> </w:t>
      </w:r>
      <w:r w:rsidRPr="00FF436F">
        <w:rPr>
          <w:sz w:val="24"/>
          <w:szCs w:val="24"/>
        </w:rPr>
        <w:t>Table 5</w:t>
      </w:r>
      <w:r w:rsidR="00BB205C">
        <w:rPr>
          <w:sz w:val="24"/>
          <w:szCs w:val="24"/>
        </w:rPr>
        <w:t xml:space="preserve"> for the list of DRGs and their relative weights.</w:t>
      </w:r>
    </w:p>
    <w:p w14:paraId="6B860B9B" w14:textId="77777777" w:rsidR="001E78FE" w:rsidRDefault="001E78FE" w:rsidP="001E78FE">
      <w:pPr>
        <w:spacing w:after="0" w:line="240" w:lineRule="auto"/>
        <w:ind w:left="360"/>
        <w:jc w:val="both"/>
        <w:rPr>
          <w:sz w:val="24"/>
          <w:szCs w:val="24"/>
        </w:rPr>
      </w:pPr>
    </w:p>
    <w:p w14:paraId="17E46C5E" w14:textId="7336BCBC" w:rsidR="00FF436F" w:rsidRPr="00FF436F" w:rsidRDefault="00FF436F" w:rsidP="00A11040">
      <w:pPr>
        <w:pStyle w:val="ListParagraph"/>
        <w:numPr>
          <w:ilvl w:val="0"/>
          <w:numId w:val="13"/>
        </w:numPr>
        <w:spacing w:after="0" w:line="240" w:lineRule="auto"/>
        <w:jc w:val="both"/>
        <w:rPr>
          <w:b/>
          <w:bCs/>
          <w:sz w:val="24"/>
          <w:szCs w:val="24"/>
        </w:rPr>
      </w:pPr>
      <w:bookmarkStart w:id="10" w:name="_Hlk37845605"/>
      <w:r w:rsidRPr="00FF436F">
        <w:rPr>
          <w:b/>
          <w:bCs/>
          <w:sz w:val="24"/>
          <w:szCs w:val="24"/>
        </w:rPr>
        <w:t>Determine the hospital</w:t>
      </w:r>
      <w:r w:rsidR="00583054">
        <w:rPr>
          <w:b/>
          <w:bCs/>
          <w:sz w:val="24"/>
          <w:szCs w:val="24"/>
        </w:rPr>
        <w:t xml:space="preserve">-specific </w:t>
      </w:r>
      <w:r w:rsidRPr="00FF436F">
        <w:rPr>
          <w:b/>
          <w:bCs/>
          <w:sz w:val="24"/>
          <w:szCs w:val="24"/>
        </w:rPr>
        <w:t>base rate</w:t>
      </w:r>
      <w:r w:rsidR="00117858">
        <w:rPr>
          <w:b/>
          <w:bCs/>
          <w:sz w:val="24"/>
          <w:szCs w:val="24"/>
        </w:rPr>
        <w:t xml:space="preserve"> (Pricer software)</w:t>
      </w:r>
    </w:p>
    <w:p w14:paraId="56749752" w14:textId="545BDFB3" w:rsidR="00C23F15" w:rsidRDefault="00FF436F" w:rsidP="00C23F15">
      <w:pPr>
        <w:spacing w:after="0" w:line="240" w:lineRule="auto"/>
        <w:ind w:left="360"/>
        <w:jc w:val="both"/>
        <w:rPr>
          <w:sz w:val="24"/>
          <w:szCs w:val="24"/>
        </w:rPr>
      </w:pPr>
      <w:r>
        <w:rPr>
          <w:sz w:val="24"/>
          <w:szCs w:val="24"/>
        </w:rPr>
        <w:t xml:space="preserve">Each hospital has a base rate which is </w:t>
      </w:r>
      <w:r w:rsidR="001E78FE">
        <w:rPr>
          <w:sz w:val="24"/>
          <w:szCs w:val="24"/>
        </w:rPr>
        <w:t>used</w:t>
      </w:r>
      <w:r>
        <w:rPr>
          <w:sz w:val="24"/>
          <w:szCs w:val="24"/>
        </w:rPr>
        <w:t xml:space="preserve"> to calculate reimbursement. </w:t>
      </w:r>
      <w:r w:rsidR="00C23F15" w:rsidRPr="00C23F15">
        <w:rPr>
          <w:sz w:val="24"/>
          <w:szCs w:val="24"/>
        </w:rPr>
        <w:t>The base payment rate is broken down into a labor portion and a non-labor portion. The labor portion is adjusted based on the wage index</w:t>
      </w:r>
      <w:r w:rsidR="000F1C84">
        <w:rPr>
          <w:sz w:val="24"/>
          <w:szCs w:val="24"/>
        </w:rPr>
        <w:t xml:space="preserve"> assigned to the hospital’s physical location</w:t>
      </w:r>
      <w:r w:rsidR="00C23F15" w:rsidRPr="00C23F15">
        <w:rPr>
          <w:sz w:val="24"/>
          <w:szCs w:val="24"/>
        </w:rPr>
        <w:t xml:space="preserve">. </w:t>
      </w:r>
    </w:p>
    <w:p w14:paraId="70385D33" w14:textId="3D5C5574" w:rsidR="00583054" w:rsidRDefault="00583054" w:rsidP="00C23F15">
      <w:pPr>
        <w:spacing w:after="0" w:line="240" w:lineRule="auto"/>
        <w:ind w:left="360"/>
        <w:jc w:val="both"/>
        <w:rPr>
          <w:sz w:val="24"/>
          <w:szCs w:val="24"/>
        </w:rPr>
      </w:pPr>
    </w:p>
    <w:bookmarkEnd w:id="10"/>
    <w:p w14:paraId="3FD77028" w14:textId="3D87976F" w:rsidR="00583054" w:rsidRDefault="00583054" w:rsidP="00C23F15">
      <w:pPr>
        <w:spacing w:after="0" w:line="240" w:lineRule="auto"/>
        <w:ind w:left="360"/>
        <w:jc w:val="both"/>
        <w:rPr>
          <w:sz w:val="24"/>
          <w:szCs w:val="24"/>
        </w:rPr>
      </w:pPr>
    </w:p>
    <w:p w14:paraId="64837910" w14:textId="77777777" w:rsidR="000F1C84" w:rsidRDefault="000F1C84" w:rsidP="00C23F15">
      <w:pPr>
        <w:spacing w:after="0" w:line="240" w:lineRule="auto"/>
        <w:ind w:left="360"/>
        <w:jc w:val="both"/>
        <w:rPr>
          <w:sz w:val="24"/>
          <w:szCs w:val="24"/>
        </w:rPr>
      </w:pPr>
    </w:p>
    <w:p w14:paraId="7D0DDCD5" w14:textId="17DDD509" w:rsidR="00583054" w:rsidRDefault="00583054" w:rsidP="00C23F15">
      <w:pPr>
        <w:spacing w:after="0" w:line="240" w:lineRule="auto"/>
        <w:ind w:left="360"/>
        <w:jc w:val="both"/>
        <w:rPr>
          <w:sz w:val="24"/>
          <w:szCs w:val="24"/>
        </w:rPr>
      </w:pPr>
    </w:p>
    <w:p w14:paraId="34428546" w14:textId="77777777" w:rsidR="00583054" w:rsidRDefault="00583054" w:rsidP="00C23F15">
      <w:pPr>
        <w:spacing w:after="0" w:line="240" w:lineRule="auto"/>
        <w:ind w:left="360"/>
        <w:jc w:val="both"/>
        <w:rPr>
          <w:sz w:val="24"/>
          <w:szCs w:val="24"/>
        </w:rPr>
      </w:pPr>
    </w:p>
    <w:p w14:paraId="4AE8D5EE" w14:textId="77777777" w:rsidR="00C23F15" w:rsidRDefault="00C23F15" w:rsidP="00C23F15">
      <w:pPr>
        <w:spacing w:after="0" w:line="240" w:lineRule="auto"/>
        <w:ind w:left="360"/>
        <w:jc w:val="both"/>
        <w:rPr>
          <w:sz w:val="24"/>
          <w:szCs w:val="24"/>
        </w:rPr>
      </w:pPr>
    </w:p>
    <w:p w14:paraId="60BD94A7" w14:textId="0BD0977B" w:rsidR="00274936" w:rsidRPr="004D6C24" w:rsidRDefault="00274936" w:rsidP="00A11040">
      <w:pPr>
        <w:pStyle w:val="ListParagraph"/>
        <w:numPr>
          <w:ilvl w:val="0"/>
          <w:numId w:val="13"/>
        </w:numPr>
        <w:spacing w:after="0" w:line="240" w:lineRule="auto"/>
        <w:jc w:val="both"/>
        <w:rPr>
          <w:b/>
          <w:sz w:val="24"/>
          <w:szCs w:val="24"/>
        </w:rPr>
      </w:pPr>
      <w:r w:rsidRPr="004D6C24">
        <w:rPr>
          <w:b/>
          <w:sz w:val="24"/>
          <w:szCs w:val="24"/>
        </w:rPr>
        <w:t>Calculate reimbursement (Pricer</w:t>
      </w:r>
      <w:r w:rsidR="00117858">
        <w:rPr>
          <w:b/>
          <w:sz w:val="24"/>
          <w:szCs w:val="24"/>
        </w:rPr>
        <w:t xml:space="preserve"> software</w:t>
      </w:r>
      <w:r w:rsidRPr="004D6C24">
        <w:rPr>
          <w:b/>
          <w:sz w:val="24"/>
          <w:szCs w:val="24"/>
        </w:rPr>
        <w:t>)</w:t>
      </w:r>
    </w:p>
    <w:p w14:paraId="0C331EFA" w14:textId="055CB264" w:rsidR="000F1C84" w:rsidRPr="000F1C84" w:rsidRDefault="00274936" w:rsidP="004D6C24">
      <w:pPr>
        <w:spacing w:after="0" w:line="240" w:lineRule="auto"/>
        <w:ind w:left="360"/>
        <w:jc w:val="both"/>
        <w:rPr>
          <w:sz w:val="24"/>
          <w:szCs w:val="24"/>
        </w:rPr>
      </w:pPr>
      <w:r w:rsidRPr="000F1C84">
        <w:rPr>
          <w:sz w:val="24"/>
          <w:szCs w:val="24"/>
        </w:rPr>
        <w:t>The software contains pricing logic to price bills according to the Medicare reimbursement rate</w:t>
      </w:r>
      <w:r w:rsidRPr="00254862">
        <w:rPr>
          <w:sz w:val="24"/>
          <w:szCs w:val="24"/>
        </w:rPr>
        <w:t xml:space="preserve"> for the correct rate year, using hospital-specific and case-specific data.</w:t>
      </w:r>
      <w:r w:rsidR="008F23BB" w:rsidRPr="00254862">
        <w:rPr>
          <w:sz w:val="24"/>
          <w:szCs w:val="24"/>
        </w:rPr>
        <w:t xml:space="preserve"> </w:t>
      </w:r>
      <w:r w:rsidR="0048356D" w:rsidRPr="000F1C84">
        <w:rPr>
          <w:sz w:val="24"/>
          <w:szCs w:val="24"/>
        </w:rPr>
        <w:t xml:space="preserve">Unless otherwise noted as </w:t>
      </w:r>
      <w:r w:rsidR="00AF007E">
        <w:rPr>
          <w:sz w:val="24"/>
          <w:szCs w:val="24"/>
        </w:rPr>
        <w:t xml:space="preserve">BWC </w:t>
      </w:r>
      <w:r w:rsidR="0048356D" w:rsidRPr="000F1C84">
        <w:rPr>
          <w:sz w:val="24"/>
          <w:szCs w:val="24"/>
        </w:rPr>
        <w:t>customizations in this document</w:t>
      </w:r>
      <w:r w:rsidR="00AF007E">
        <w:rPr>
          <w:sz w:val="24"/>
          <w:szCs w:val="24"/>
        </w:rPr>
        <w:t>,</w:t>
      </w:r>
      <w:r w:rsidR="0048356D" w:rsidRPr="000F1C84">
        <w:rPr>
          <w:sz w:val="24"/>
          <w:szCs w:val="24"/>
        </w:rPr>
        <w:t xml:space="preserve"> BWC utilizes the pricing data effective for Medicare on October 1</w:t>
      </w:r>
      <w:r w:rsidR="00AF007E">
        <w:rPr>
          <w:sz w:val="24"/>
          <w:szCs w:val="24"/>
        </w:rPr>
        <w:t xml:space="preserve"> of each year.</w:t>
      </w:r>
    </w:p>
    <w:p w14:paraId="2249001C" w14:textId="03CFFC0A" w:rsidR="000F1C84" w:rsidRPr="000F1C84" w:rsidRDefault="000F1C84" w:rsidP="004D6C24">
      <w:pPr>
        <w:spacing w:after="0" w:line="240" w:lineRule="auto"/>
        <w:ind w:left="360"/>
        <w:jc w:val="both"/>
        <w:rPr>
          <w:sz w:val="24"/>
          <w:szCs w:val="24"/>
        </w:rPr>
      </w:pPr>
    </w:p>
    <w:p w14:paraId="768DEE94" w14:textId="77777777" w:rsidR="000F1C84" w:rsidRDefault="000F1C84" w:rsidP="000F1C84">
      <w:pPr>
        <w:spacing w:after="0" w:line="240" w:lineRule="auto"/>
        <w:ind w:left="360"/>
        <w:jc w:val="both"/>
        <w:rPr>
          <w:sz w:val="24"/>
          <w:szCs w:val="24"/>
        </w:rPr>
      </w:pPr>
      <w:r w:rsidRPr="000F1C84">
        <w:rPr>
          <w:sz w:val="24"/>
          <w:szCs w:val="24"/>
        </w:rPr>
        <w:t>At a high level, the reimbursement is calculated by</w:t>
      </w:r>
      <w:r>
        <w:rPr>
          <w:sz w:val="24"/>
          <w:szCs w:val="24"/>
        </w:rPr>
        <w:t>:</w:t>
      </w:r>
    </w:p>
    <w:p w14:paraId="23A3024E" w14:textId="77777777" w:rsidR="000F1C84" w:rsidRDefault="000F1C84" w:rsidP="000F1C84">
      <w:pPr>
        <w:pStyle w:val="ListParagraph"/>
        <w:numPr>
          <w:ilvl w:val="0"/>
          <w:numId w:val="31"/>
        </w:numPr>
        <w:spacing w:after="0" w:line="240" w:lineRule="auto"/>
        <w:jc w:val="both"/>
        <w:rPr>
          <w:rFonts w:eastAsia="Times New Roman"/>
          <w:sz w:val="24"/>
          <w:szCs w:val="24"/>
        </w:rPr>
      </w:pPr>
      <w:r>
        <w:rPr>
          <w:sz w:val="24"/>
          <w:szCs w:val="24"/>
        </w:rPr>
        <w:t>F</w:t>
      </w:r>
      <w:r w:rsidRPr="000F1C84">
        <w:rPr>
          <w:sz w:val="24"/>
          <w:szCs w:val="24"/>
        </w:rPr>
        <w:t>irst m</w:t>
      </w:r>
      <w:r w:rsidRPr="008942DC">
        <w:rPr>
          <w:rFonts w:eastAsia="Times New Roman"/>
          <w:sz w:val="24"/>
          <w:szCs w:val="24"/>
        </w:rPr>
        <w:t xml:space="preserve">ultiplying the wage-adjusted standardized amount by the DRG weight. </w:t>
      </w:r>
    </w:p>
    <w:p w14:paraId="4D457C07" w14:textId="68550B00" w:rsidR="000F1C84" w:rsidRPr="008942DC" w:rsidRDefault="000F1C84" w:rsidP="008942DC">
      <w:pPr>
        <w:pStyle w:val="ListParagraph"/>
        <w:numPr>
          <w:ilvl w:val="0"/>
          <w:numId w:val="31"/>
        </w:numPr>
        <w:spacing w:after="0" w:line="240" w:lineRule="auto"/>
        <w:jc w:val="both"/>
        <w:rPr>
          <w:rFonts w:eastAsia="Times New Roman"/>
          <w:sz w:val="24"/>
          <w:szCs w:val="24"/>
        </w:rPr>
      </w:pPr>
      <w:r w:rsidRPr="008942DC">
        <w:rPr>
          <w:rFonts w:eastAsia="Times New Roman"/>
          <w:sz w:val="24"/>
          <w:szCs w:val="24"/>
        </w:rPr>
        <w:t>Next, if applicable add the following adjustments:</w:t>
      </w:r>
    </w:p>
    <w:p w14:paraId="7DB402A3" w14:textId="77777777" w:rsidR="000F1C84" w:rsidRPr="008942DC" w:rsidRDefault="000F1C84" w:rsidP="000F1C84">
      <w:pPr>
        <w:pStyle w:val="ListParagraph"/>
        <w:numPr>
          <w:ilvl w:val="1"/>
          <w:numId w:val="31"/>
        </w:numPr>
        <w:rPr>
          <w:rFonts w:eastAsia="Times New Roman"/>
          <w:sz w:val="24"/>
          <w:szCs w:val="24"/>
        </w:rPr>
      </w:pPr>
      <w:r w:rsidRPr="008942DC">
        <w:rPr>
          <w:rFonts w:eastAsia="Times New Roman"/>
          <w:sz w:val="24"/>
          <w:szCs w:val="24"/>
        </w:rPr>
        <w:t>Indirect medical education adjustments for teaching hospitals</w:t>
      </w:r>
    </w:p>
    <w:p w14:paraId="7DD62F35" w14:textId="77777777" w:rsidR="000F1C84" w:rsidRPr="008942DC" w:rsidRDefault="000F1C84" w:rsidP="000F1C84">
      <w:pPr>
        <w:pStyle w:val="ListParagraph"/>
        <w:numPr>
          <w:ilvl w:val="1"/>
          <w:numId w:val="31"/>
        </w:numPr>
        <w:rPr>
          <w:rFonts w:eastAsia="Times New Roman"/>
          <w:sz w:val="24"/>
          <w:szCs w:val="24"/>
        </w:rPr>
      </w:pPr>
      <w:r w:rsidRPr="008942DC">
        <w:rPr>
          <w:rFonts w:eastAsia="Times New Roman"/>
          <w:sz w:val="24"/>
          <w:szCs w:val="24"/>
        </w:rPr>
        <w:t>Rural add-on</w:t>
      </w:r>
    </w:p>
    <w:p w14:paraId="1CDDF82C" w14:textId="2D51AFAA" w:rsidR="000F1C84" w:rsidRPr="008942DC" w:rsidRDefault="000F1C84" w:rsidP="000F1C84">
      <w:pPr>
        <w:pStyle w:val="ListParagraph"/>
        <w:numPr>
          <w:ilvl w:val="1"/>
          <w:numId w:val="31"/>
        </w:numPr>
        <w:rPr>
          <w:rFonts w:eastAsia="Times New Roman"/>
          <w:sz w:val="24"/>
          <w:szCs w:val="24"/>
        </w:rPr>
      </w:pPr>
      <w:r w:rsidRPr="008942DC">
        <w:rPr>
          <w:rFonts w:eastAsia="Times New Roman"/>
          <w:sz w:val="24"/>
          <w:szCs w:val="24"/>
        </w:rPr>
        <w:t>Disproportionate share uninsured patient</w:t>
      </w:r>
      <w:r w:rsidR="00817097">
        <w:rPr>
          <w:rFonts w:eastAsia="Times New Roman"/>
          <w:sz w:val="24"/>
          <w:szCs w:val="24"/>
        </w:rPr>
        <w:t>’</w:t>
      </w:r>
      <w:r w:rsidRPr="008942DC">
        <w:rPr>
          <w:rFonts w:eastAsia="Times New Roman"/>
          <w:sz w:val="24"/>
          <w:szCs w:val="24"/>
        </w:rPr>
        <w:t>s adjustment; and</w:t>
      </w:r>
    </w:p>
    <w:p w14:paraId="0A866377" w14:textId="77777777" w:rsidR="000F1C84" w:rsidRPr="008942DC" w:rsidRDefault="000F1C84" w:rsidP="000F1C84">
      <w:pPr>
        <w:pStyle w:val="ListParagraph"/>
        <w:numPr>
          <w:ilvl w:val="1"/>
          <w:numId w:val="31"/>
        </w:numPr>
        <w:rPr>
          <w:rFonts w:eastAsia="Times New Roman"/>
          <w:sz w:val="24"/>
          <w:szCs w:val="24"/>
        </w:rPr>
      </w:pPr>
      <w:r w:rsidRPr="008942DC">
        <w:rPr>
          <w:rFonts w:eastAsia="Times New Roman"/>
          <w:sz w:val="24"/>
          <w:szCs w:val="24"/>
        </w:rPr>
        <w:t>Cost outliers</w:t>
      </w:r>
    </w:p>
    <w:p w14:paraId="60A2778A" w14:textId="1298F0C6" w:rsidR="000F1C84" w:rsidRPr="008942DC" w:rsidRDefault="000F1C84" w:rsidP="000F1C84">
      <w:pPr>
        <w:pStyle w:val="ListParagraph"/>
        <w:numPr>
          <w:ilvl w:val="0"/>
          <w:numId w:val="31"/>
        </w:numPr>
        <w:rPr>
          <w:rFonts w:eastAsia="Times New Roman"/>
          <w:sz w:val="24"/>
          <w:szCs w:val="24"/>
        </w:rPr>
      </w:pPr>
      <w:r w:rsidRPr="008942DC">
        <w:rPr>
          <w:rFonts w:eastAsia="Times New Roman"/>
          <w:sz w:val="24"/>
          <w:szCs w:val="24"/>
        </w:rPr>
        <w:t>And finally, adjusting that amount by hospital specific quality measures</w:t>
      </w:r>
      <w:r w:rsidR="00046438">
        <w:rPr>
          <w:rFonts w:eastAsia="Times New Roman"/>
          <w:sz w:val="24"/>
          <w:szCs w:val="24"/>
        </w:rPr>
        <w:t>.</w:t>
      </w:r>
    </w:p>
    <w:p w14:paraId="5803FC90" w14:textId="77777777" w:rsidR="000F1C84" w:rsidRDefault="000F1C84" w:rsidP="004D6C24">
      <w:pPr>
        <w:spacing w:after="0" w:line="240" w:lineRule="auto"/>
        <w:ind w:left="360"/>
        <w:jc w:val="both"/>
        <w:rPr>
          <w:sz w:val="24"/>
          <w:szCs w:val="24"/>
        </w:rPr>
      </w:pPr>
    </w:p>
    <w:p w14:paraId="66CF6E76" w14:textId="27F57551" w:rsidR="005B087F" w:rsidRDefault="0048356D" w:rsidP="0061559F">
      <w:pPr>
        <w:pStyle w:val="Heading2"/>
        <w:spacing w:before="0"/>
      </w:pPr>
      <w:bookmarkStart w:id="11" w:name="_Toc56580521"/>
      <w:r>
        <w:t xml:space="preserve">C. </w:t>
      </w:r>
      <w:r w:rsidR="00FC32DC">
        <w:t xml:space="preserve">BWC </w:t>
      </w:r>
      <w:r w:rsidR="005B087F">
        <w:t xml:space="preserve">Customizations </w:t>
      </w:r>
      <w:r w:rsidR="00980382">
        <w:t xml:space="preserve">to </w:t>
      </w:r>
      <w:r w:rsidR="005B087F">
        <w:t xml:space="preserve">the </w:t>
      </w:r>
      <w:r w:rsidR="00AC5953">
        <w:t>Medicare IPPS Methodology</w:t>
      </w:r>
      <w:r w:rsidR="000072ED">
        <w:t xml:space="preserve"> for Rate Year 2021</w:t>
      </w:r>
      <w:bookmarkEnd w:id="11"/>
    </w:p>
    <w:p w14:paraId="3ECDA18D" w14:textId="77777777" w:rsidR="004C5A86" w:rsidRDefault="000C6A7D" w:rsidP="0048356D">
      <w:pPr>
        <w:spacing w:after="0"/>
        <w:rPr>
          <w:sz w:val="24"/>
          <w:szCs w:val="24"/>
        </w:rPr>
      </w:pPr>
      <w:r>
        <w:rPr>
          <w:sz w:val="24"/>
          <w:szCs w:val="24"/>
        </w:rPr>
        <w:t xml:space="preserve">BWC applies </w:t>
      </w:r>
      <w:r w:rsidR="00956405">
        <w:rPr>
          <w:sz w:val="24"/>
          <w:szCs w:val="24"/>
        </w:rPr>
        <w:t xml:space="preserve">several </w:t>
      </w:r>
      <w:r w:rsidR="00456549">
        <w:rPr>
          <w:sz w:val="24"/>
          <w:szCs w:val="24"/>
        </w:rPr>
        <w:t>customization</w:t>
      </w:r>
      <w:r w:rsidR="00956405">
        <w:rPr>
          <w:sz w:val="24"/>
          <w:szCs w:val="24"/>
        </w:rPr>
        <w:t>s</w:t>
      </w:r>
      <w:r w:rsidR="00456549">
        <w:rPr>
          <w:sz w:val="24"/>
          <w:szCs w:val="24"/>
        </w:rPr>
        <w:t xml:space="preserve"> to </w:t>
      </w:r>
      <w:r w:rsidR="00FC32DC">
        <w:rPr>
          <w:sz w:val="24"/>
          <w:szCs w:val="24"/>
        </w:rPr>
        <w:t>the Medicare IPPS methodology</w:t>
      </w:r>
      <w:r w:rsidR="00211486">
        <w:rPr>
          <w:sz w:val="24"/>
          <w:szCs w:val="24"/>
        </w:rPr>
        <w:t xml:space="preserve"> as noted below.</w:t>
      </w:r>
      <w:r w:rsidR="00211486" w:rsidRPr="00211486">
        <w:rPr>
          <w:sz w:val="24"/>
          <w:szCs w:val="24"/>
        </w:rPr>
        <w:t xml:space="preserve"> </w:t>
      </w:r>
    </w:p>
    <w:p w14:paraId="71BB69AC" w14:textId="77777777" w:rsidR="004C5A86" w:rsidRDefault="004C5A86" w:rsidP="0048356D">
      <w:pPr>
        <w:spacing w:after="0"/>
        <w:rPr>
          <w:sz w:val="24"/>
          <w:szCs w:val="24"/>
        </w:rPr>
      </w:pPr>
    </w:p>
    <w:p w14:paraId="3DD1E851" w14:textId="77777777" w:rsidR="0048356D" w:rsidRPr="0048356D" w:rsidRDefault="0048356D" w:rsidP="00A11040">
      <w:pPr>
        <w:pStyle w:val="ListParagraph"/>
        <w:numPr>
          <w:ilvl w:val="0"/>
          <w:numId w:val="11"/>
        </w:numPr>
        <w:spacing w:after="0"/>
        <w:rPr>
          <w:b/>
          <w:sz w:val="24"/>
          <w:szCs w:val="24"/>
        </w:rPr>
      </w:pPr>
      <w:r w:rsidRPr="0048356D">
        <w:rPr>
          <w:b/>
          <w:sz w:val="24"/>
          <w:szCs w:val="24"/>
        </w:rPr>
        <w:t>Modification to Effective Dates</w:t>
      </w:r>
    </w:p>
    <w:p w14:paraId="38CA3694" w14:textId="297E9933" w:rsidR="0048356D" w:rsidRDefault="00747999" w:rsidP="0048356D">
      <w:pPr>
        <w:spacing w:after="0"/>
        <w:ind w:left="360"/>
        <w:rPr>
          <w:sz w:val="24"/>
          <w:szCs w:val="24"/>
        </w:rPr>
      </w:pPr>
      <w:r>
        <w:rPr>
          <w:sz w:val="24"/>
          <w:szCs w:val="24"/>
        </w:rPr>
        <w:t xml:space="preserve">Medicare’s IPPS rate year is effective for discharges from October 1 through September 30 of each year. BWC’s inpatient rate year is effective for discharges from February 1 through January 31 of each year. Since </w:t>
      </w:r>
      <w:r w:rsidR="0048356D" w:rsidRPr="0048356D">
        <w:rPr>
          <w:sz w:val="24"/>
          <w:szCs w:val="24"/>
        </w:rPr>
        <w:t xml:space="preserve">BWC does not adopt Medicare’s </w:t>
      </w:r>
      <w:r>
        <w:rPr>
          <w:sz w:val="24"/>
          <w:szCs w:val="24"/>
        </w:rPr>
        <w:t>October 1</w:t>
      </w:r>
      <w:r w:rsidR="00137AEB" w:rsidRPr="0048356D">
        <w:rPr>
          <w:sz w:val="24"/>
          <w:szCs w:val="24"/>
        </w:rPr>
        <w:t xml:space="preserve"> </w:t>
      </w:r>
      <w:r w:rsidR="0048356D" w:rsidRPr="0048356D">
        <w:rPr>
          <w:sz w:val="24"/>
          <w:szCs w:val="24"/>
        </w:rPr>
        <w:t xml:space="preserve">provisions until </w:t>
      </w:r>
      <w:r>
        <w:rPr>
          <w:sz w:val="24"/>
          <w:szCs w:val="24"/>
        </w:rPr>
        <w:t xml:space="preserve">February 1 of the following year, </w:t>
      </w:r>
      <w:r w:rsidR="0048356D" w:rsidRPr="0048356D">
        <w:rPr>
          <w:sz w:val="24"/>
          <w:szCs w:val="24"/>
        </w:rPr>
        <w:t xml:space="preserve">bills with </w:t>
      </w:r>
      <w:r w:rsidR="0048356D" w:rsidRPr="0048356D">
        <w:rPr>
          <w:sz w:val="24"/>
          <w:szCs w:val="24"/>
          <w:u w:val="single"/>
        </w:rPr>
        <w:t xml:space="preserve">discharge dates between </w:t>
      </w:r>
      <w:r>
        <w:rPr>
          <w:sz w:val="24"/>
          <w:szCs w:val="24"/>
          <w:u w:val="single"/>
        </w:rPr>
        <w:t xml:space="preserve">October 1 and January 31 of the following year </w:t>
      </w:r>
      <w:r w:rsidR="0048356D" w:rsidRPr="0048356D">
        <w:rPr>
          <w:sz w:val="24"/>
          <w:szCs w:val="24"/>
        </w:rPr>
        <w:t>require special handling:</w:t>
      </w:r>
    </w:p>
    <w:p w14:paraId="409CACB9" w14:textId="78C7F864" w:rsidR="0048356D" w:rsidRDefault="0048356D" w:rsidP="00A11040">
      <w:pPr>
        <w:pStyle w:val="ListParagraph"/>
        <w:numPr>
          <w:ilvl w:val="0"/>
          <w:numId w:val="1"/>
        </w:numPr>
        <w:spacing w:after="0"/>
        <w:ind w:left="720"/>
        <w:rPr>
          <w:sz w:val="24"/>
          <w:szCs w:val="24"/>
        </w:rPr>
      </w:pPr>
      <w:r w:rsidRPr="0048356D">
        <w:rPr>
          <w:sz w:val="24"/>
          <w:szCs w:val="24"/>
        </w:rPr>
        <w:t xml:space="preserve">These bills are processed using the software and policies in effect for the BWC rate year, which is different from the Medicare rate year.  As such, these bills </w:t>
      </w:r>
      <w:r w:rsidR="00747999">
        <w:rPr>
          <w:sz w:val="24"/>
          <w:szCs w:val="24"/>
        </w:rPr>
        <w:t>with discharge dates in this five month period continue to be edited, grouped and priced using the BWC rate year software.</w:t>
      </w:r>
    </w:p>
    <w:p w14:paraId="559B10B2" w14:textId="2D4FDAD2" w:rsidR="0048356D" w:rsidRDefault="0048356D" w:rsidP="00A11040">
      <w:pPr>
        <w:pStyle w:val="ListParagraph"/>
        <w:numPr>
          <w:ilvl w:val="0"/>
          <w:numId w:val="1"/>
        </w:numPr>
        <w:spacing w:after="0"/>
        <w:ind w:left="720"/>
        <w:rPr>
          <w:sz w:val="24"/>
          <w:szCs w:val="24"/>
        </w:rPr>
      </w:pPr>
      <w:r w:rsidRPr="0048356D">
        <w:rPr>
          <w:sz w:val="24"/>
          <w:szCs w:val="24"/>
        </w:rPr>
        <w:t xml:space="preserve">In addition, bills for these dates of service which contain a new diagnosis code, procedure code or other data element (i.e. effective for Medicare on </w:t>
      </w:r>
      <w:r w:rsidR="00747999">
        <w:rPr>
          <w:sz w:val="24"/>
          <w:szCs w:val="24"/>
        </w:rPr>
        <w:t>October 1</w:t>
      </w:r>
      <w:r w:rsidR="00137AEB" w:rsidRPr="0048356D">
        <w:rPr>
          <w:sz w:val="24"/>
          <w:szCs w:val="24"/>
        </w:rPr>
        <w:t xml:space="preserve"> </w:t>
      </w:r>
      <w:r w:rsidRPr="0048356D">
        <w:rPr>
          <w:sz w:val="24"/>
          <w:szCs w:val="24"/>
        </w:rPr>
        <w:t>and after) cannot be processed using BWC</w:t>
      </w:r>
      <w:r w:rsidR="00747999">
        <w:rPr>
          <w:sz w:val="24"/>
          <w:szCs w:val="24"/>
        </w:rPr>
        <w:t>’s current rate year</w:t>
      </w:r>
      <w:r w:rsidR="00137AEB" w:rsidRPr="0048356D">
        <w:rPr>
          <w:sz w:val="24"/>
          <w:szCs w:val="24"/>
        </w:rPr>
        <w:t xml:space="preserve"> </w:t>
      </w:r>
      <w:r w:rsidRPr="0048356D">
        <w:rPr>
          <w:sz w:val="24"/>
          <w:szCs w:val="24"/>
        </w:rPr>
        <w:t>software.  Instead, managed care organizations (MCOs) are required to work with the hospital to cross-walk any new codes back to the previous year’s codes to allow the bill to be processed in our software.</w:t>
      </w:r>
    </w:p>
    <w:p w14:paraId="38DC4E30" w14:textId="77777777" w:rsidR="0048356D" w:rsidRDefault="0048356D" w:rsidP="0048356D">
      <w:pPr>
        <w:spacing w:after="0"/>
        <w:ind w:left="360"/>
        <w:rPr>
          <w:b/>
          <w:sz w:val="24"/>
          <w:szCs w:val="24"/>
        </w:rPr>
      </w:pPr>
    </w:p>
    <w:p w14:paraId="76B052E3" w14:textId="77777777" w:rsidR="004C5A86" w:rsidRPr="0048356D" w:rsidRDefault="00FF6244" w:rsidP="00A11040">
      <w:pPr>
        <w:pStyle w:val="ListParagraph"/>
        <w:numPr>
          <w:ilvl w:val="0"/>
          <w:numId w:val="11"/>
        </w:numPr>
        <w:spacing w:after="0"/>
        <w:rPr>
          <w:b/>
          <w:sz w:val="24"/>
          <w:szCs w:val="24"/>
        </w:rPr>
      </w:pPr>
      <w:r w:rsidRPr="0048356D">
        <w:rPr>
          <w:b/>
          <w:sz w:val="24"/>
          <w:szCs w:val="24"/>
        </w:rPr>
        <w:t xml:space="preserve">BWC </w:t>
      </w:r>
      <w:r w:rsidR="0048356D" w:rsidRPr="0048356D">
        <w:rPr>
          <w:b/>
          <w:sz w:val="24"/>
          <w:szCs w:val="24"/>
        </w:rPr>
        <w:t>D</w:t>
      </w:r>
      <w:r w:rsidRPr="0048356D">
        <w:rPr>
          <w:b/>
          <w:sz w:val="24"/>
          <w:szCs w:val="24"/>
        </w:rPr>
        <w:t xml:space="preserve">oes </w:t>
      </w:r>
      <w:r w:rsidR="0048356D" w:rsidRPr="0048356D">
        <w:rPr>
          <w:b/>
          <w:sz w:val="24"/>
          <w:szCs w:val="24"/>
        </w:rPr>
        <w:t>N</w:t>
      </w:r>
      <w:r w:rsidRPr="0048356D">
        <w:rPr>
          <w:b/>
          <w:sz w:val="24"/>
          <w:szCs w:val="24"/>
        </w:rPr>
        <w:t xml:space="preserve">ot </w:t>
      </w:r>
      <w:r w:rsidR="0048356D" w:rsidRPr="0048356D">
        <w:rPr>
          <w:b/>
          <w:sz w:val="24"/>
          <w:szCs w:val="24"/>
        </w:rPr>
        <w:t>A</w:t>
      </w:r>
      <w:r w:rsidRPr="0048356D">
        <w:rPr>
          <w:b/>
          <w:sz w:val="24"/>
          <w:szCs w:val="24"/>
        </w:rPr>
        <w:t xml:space="preserve">dopt </w:t>
      </w:r>
      <w:r w:rsidR="004C5A86" w:rsidRPr="0048356D">
        <w:rPr>
          <w:b/>
          <w:sz w:val="24"/>
          <w:szCs w:val="24"/>
        </w:rPr>
        <w:t>Medicare</w:t>
      </w:r>
      <w:r w:rsidR="0048356D" w:rsidRPr="0048356D">
        <w:rPr>
          <w:b/>
          <w:sz w:val="24"/>
          <w:szCs w:val="24"/>
        </w:rPr>
        <w:t>’s Quarterly</w:t>
      </w:r>
      <w:r w:rsidR="004C5A86" w:rsidRPr="0048356D">
        <w:rPr>
          <w:b/>
          <w:sz w:val="24"/>
          <w:szCs w:val="24"/>
        </w:rPr>
        <w:t xml:space="preserve"> Updates</w:t>
      </w:r>
    </w:p>
    <w:p w14:paraId="6568CB4B" w14:textId="04A6481F" w:rsidR="00956405" w:rsidRDefault="00211486" w:rsidP="0048356D">
      <w:pPr>
        <w:spacing w:after="0"/>
        <w:ind w:left="360"/>
        <w:rPr>
          <w:sz w:val="24"/>
          <w:szCs w:val="24"/>
        </w:rPr>
      </w:pPr>
      <w:r w:rsidRPr="00DA55B5">
        <w:rPr>
          <w:sz w:val="24"/>
          <w:szCs w:val="24"/>
        </w:rPr>
        <w:t>Th</w:t>
      </w:r>
      <w:r w:rsidR="004C5A86">
        <w:rPr>
          <w:sz w:val="24"/>
          <w:szCs w:val="24"/>
        </w:rPr>
        <w:t>e software effective for Medicare on October 1</w:t>
      </w:r>
      <w:r w:rsidR="00747999">
        <w:rPr>
          <w:sz w:val="24"/>
          <w:szCs w:val="24"/>
        </w:rPr>
        <w:t xml:space="preserve"> of each year</w:t>
      </w:r>
      <w:r w:rsidR="00137AEB">
        <w:rPr>
          <w:sz w:val="24"/>
          <w:szCs w:val="24"/>
        </w:rPr>
        <w:t xml:space="preserve"> </w:t>
      </w:r>
      <w:r w:rsidR="004C5A86">
        <w:rPr>
          <w:sz w:val="24"/>
          <w:szCs w:val="24"/>
        </w:rPr>
        <w:t xml:space="preserve">is </w:t>
      </w:r>
      <w:r w:rsidRPr="00DA55B5">
        <w:rPr>
          <w:sz w:val="24"/>
          <w:szCs w:val="24"/>
        </w:rPr>
        <w:t xml:space="preserve">utilized throughout BWC’s rate year. </w:t>
      </w:r>
      <w:r w:rsidR="002754DB">
        <w:rPr>
          <w:sz w:val="24"/>
          <w:szCs w:val="24"/>
        </w:rPr>
        <w:t xml:space="preserve">BWC’s rule allows </w:t>
      </w:r>
      <w:r w:rsidR="00225259">
        <w:rPr>
          <w:sz w:val="24"/>
          <w:szCs w:val="24"/>
        </w:rPr>
        <w:t>the agency</w:t>
      </w:r>
      <w:r w:rsidR="002754DB">
        <w:rPr>
          <w:sz w:val="24"/>
          <w:szCs w:val="24"/>
        </w:rPr>
        <w:t xml:space="preserve"> to adopt corrections detailed in Medicare’s correction notice rule. However, BWC does not recognize any other software or data </w:t>
      </w:r>
      <w:r>
        <w:rPr>
          <w:sz w:val="24"/>
          <w:szCs w:val="24"/>
        </w:rPr>
        <w:lastRenderedPageBreak/>
        <w:t>updates made</w:t>
      </w:r>
      <w:r w:rsidR="002754DB">
        <w:rPr>
          <w:sz w:val="24"/>
          <w:szCs w:val="24"/>
        </w:rPr>
        <w:t xml:space="preserve"> by Medicare</w:t>
      </w:r>
      <w:r>
        <w:rPr>
          <w:sz w:val="24"/>
          <w:szCs w:val="24"/>
        </w:rPr>
        <w:t xml:space="preserve"> throughout the rate year.</w:t>
      </w:r>
      <w:r w:rsidR="002754DB">
        <w:rPr>
          <w:sz w:val="24"/>
          <w:szCs w:val="24"/>
        </w:rPr>
        <w:t xml:space="preserve"> </w:t>
      </w:r>
      <w:r w:rsidR="00853012">
        <w:rPr>
          <w:sz w:val="24"/>
          <w:szCs w:val="24"/>
        </w:rPr>
        <w:t xml:space="preserve">For example, under IPPS, Medicare contractors are required to update a hospital’s </w:t>
      </w:r>
      <w:r w:rsidR="00A374A5">
        <w:rPr>
          <w:sz w:val="24"/>
          <w:szCs w:val="24"/>
        </w:rPr>
        <w:t>provider specific payment data</w:t>
      </w:r>
      <w:r w:rsidR="00853012">
        <w:rPr>
          <w:sz w:val="24"/>
          <w:szCs w:val="24"/>
        </w:rPr>
        <w:t xml:space="preserve"> (in the Provider Specific File) </w:t>
      </w:r>
      <w:r w:rsidR="00A374A5">
        <w:rPr>
          <w:sz w:val="24"/>
          <w:szCs w:val="24"/>
        </w:rPr>
        <w:t>every three months.</w:t>
      </w:r>
      <w:r w:rsidR="00853012">
        <w:rPr>
          <w:sz w:val="24"/>
          <w:szCs w:val="24"/>
        </w:rPr>
        <w:t xml:space="preserve"> BWC does not </w:t>
      </w:r>
      <w:r w:rsidR="00A374A5">
        <w:rPr>
          <w:sz w:val="24"/>
          <w:szCs w:val="24"/>
        </w:rPr>
        <w:t>recognize</w:t>
      </w:r>
      <w:r w:rsidR="00853012">
        <w:rPr>
          <w:sz w:val="24"/>
          <w:szCs w:val="24"/>
        </w:rPr>
        <w:t xml:space="preserve"> these </w:t>
      </w:r>
      <w:r w:rsidR="00A374A5">
        <w:rPr>
          <w:sz w:val="24"/>
          <w:szCs w:val="24"/>
        </w:rPr>
        <w:t xml:space="preserve">file </w:t>
      </w:r>
      <w:r w:rsidR="00853012">
        <w:rPr>
          <w:sz w:val="24"/>
          <w:szCs w:val="24"/>
        </w:rPr>
        <w:t>updates</w:t>
      </w:r>
      <w:r w:rsidR="00A374A5">
        <w:rPr>
          <w:sz w:val="24"/>
          <w:szCs w:val="24"/>
        </w:rPr>
        <w:t>.</w:t>
      </w:r>
      <w:r w:rsidR="00853012">
        <w:rPr>
          <w:sz w:val="24"/>
          <w:szCs w:val="24"/>
        </w:rPr>
        <w:t xml:space="preserve"> Instead, </w:t>
      </w:r>
      <w:r w:rsidR="00A374A5">
        <w:rPr>
          <w:sz w:val="24"/>
          <w:szCs w:val="24"/>
        </w:rPr>
        <w:t>all provisions</w:t>
      </w:r>
      <w:r w:rsidR="00853012">
        <w:rPr>
          <w:sz w:val="24"/>
          <w:szCs w:val="24"/>
        </w:rPr>
        <w:t xml:space="preserve"> adopted by BWC </w:t>
      </w:r>
      <w:r w:rsidR="00A374A5">
        <w:rPr>
          <w:sz w:val="24"/>
          <w:szCs w:val="24"/>
        </w:rPr>
        <w:t>on February 1</w:t>
      </w:r>
      <w:r w:rsidR="00747999">
        <w:rPr>
          <w:sz w:val="24"/>
          <w:szCs w:val="24"/>
        </w:rPr>
        <w:t xml:space="preserve"> </w:t>
      </w:r>
      <w:r w:rsidR="00853012">
        <w:rPr>
          <w:sz w:val="24"/>
          <w:szCs w:val="24"/>
        </w:rPr>
        <w:t>remain effective throughout the BWC rate year.</w:t>
      </w:r>
    </w:p>
    <w:p w14:paraId="004BEDC4" w14:textId="77777777" w:rsidR="00956405" w:rsidRDefault="00956405" w:rsidP="0061559F">
      <w:pPr>
        <w:spacing w:after="0"/>
        <w:rPr>
          <w:sz w:val="24"/>
          <w:szCs w:val="24"/>
        </w:rPr>
      </w:pPr>
    </w:p>
    <w:p w14:paraId="7BED32CB" w14:textId="77777777" w:rsidR="006D5F7C" w:rsidRPr="0048356D" w:rsidRDefault="006D5F7C" w:rsidP="00A11040">
      <w:pPr>
        <w:pStyle w:val="ListParagraph"/>
        <w:numPr>
          <w:ilvl w:val="0"/>
          <w:numId w:val="11"/>
        </w:numPr>
        <w:spacing w:after="0"/>
        <w:rPr>
          <w:b/>
          <w:sz w:val="24"/>
          <w:szCs w:val="24"/>
        </w:rPr>
      </w:pPr>
      <w:r w:rsidRPr="0048356D">
        <w:rPr>
          <w:b/>
          <w:sz w:val="24"/>
          <w:szCs w:val="24"/>
        </w:rPr>
        <w:t>Application to Non-Medicare Participating Hospitals</w:t>
      </w:r>
    </w:p>
    <w:p w14:paraId="55C29799" w14:textId="77777777" w:rsidR="0048356D" w:rsidRPr="0048356D" w:rsidRDefault="00922B31" w:rsidP="0048356D">
      <w:pPr>
        <w:spacing w:after="0"/>
        <w:ind w:left="360"/>
        <w:rPr>
          <w:sz w:val="24"/>
          <w:szCs w:val="24"/>
        </w:rPr>
      </w:pPr>
      <w:hyperlink r:id="rId22" w:history="1">
        <w:r w:rsidR="006D5F7C">
          <w:rPr>
            <w:rStyle w:val="Hyperlink"/>
            <w:sz w:val="24"/>
            <w:szCs w:val="24"/>
          </w:rPr>
          <w:t>OAC 4123-6-37.</w:t>
        </w:r>
        <w:r w:rsidR="006D5F7C" w:rsidRPr="006D5F7C">
          <w:rPr>
            <w:rStyle w:val="Hyperlink"/>
            <w:color w:val="auto"/>
            <w:sz w:val="24"/>
            <w:szCs w:val="24"/>
            <w:u w:val="none"/>
          </w:rPr>
          <w:t>1</w:t>
        </w:r>
      </w:hyperlink>
      <w:r w:rsidR="006D5F7C">
        <w:rPr>
          <w:rStyle w:val="Hyperlink"/>
          <w:color w:val="auto"/>
          <w:sz w:val="24"/>
          <w:szCs w:val="24"/>
          <w:u w:val="none"/>
        </w:rPr>
        <w:t xml:space="preserve"> includes a provision for payment to </w:t>
      </w:r>
      <w:r w:rsidR="006D5F7C">
        <w:rPr>
          <w:sz w:val="24"/>
          <w:szCs w:val="24"/>
        </w:rPr>
        <w:t xml:space="preserve">hospitals that do not participate in Medicare (e.g. </w:t>
      </w:r>
      <w:r w:rsidR="0048356D">
        <w:rPr>
          <w:sz w:val="24"/>
          <w:szCs w:val="24"/>
        </w:rPr>
        <w:t xml:space="preserve">private </w:t>
      </w:r>
      <w:r w:rsidR="006D5F7C">
        <w:rPr>
          <w:sz w:val="24"/>
          <w:szCs w:val="24"/>
        </w:rPr>
        <w:t>“boutique” hospitals).  The rule indicates that these hospitals are paid at the BWC IPPS-based methodology and it specifies the specific pricing factors used to calculate reimbursement. Currently there is only one hospital in Ohio that qualifies for this provision</w:t>
      </w:r>
      <w:r w:rsidR="008F23BB">
        <w:rPr>
          <w:sz w:val="24"/>
          <w:szCs w:val="24"/>
        </w:rPr>
        <w:t>, Riverview Health Institute in Dayton, Ohio</w:t>
      </w:r>
      <w:r w:rsidR="006D5F7C">
        <w:rPr>
          <w:sz w:val="24"/>
          <w:szCs w:val="24"/>
        </w:rPr>
        <w:t>.</w:t>
      </w:r>
      <w:r w:rsidR="008F23BB">
        <w:rPr>
          <w:sz w:val="24"/>
          <w:szCs w:val="24"/>
        </w:rPr>
        <w:t xml:space="preserve"> </w:t>
      </w:r>
      <w:r w:rsidR="0048356D" w:rsidRPr="0048356D">
        <w:rPr>
          <w:sz w:val="24"/>
          <w:szCs w:val="24"/>
        </w:rPr>
        <w:t>Because the</w:t>
      </w:r>
      <w:r w:rsidR="0048356D">
        <w:rPr>
          <w:sz w:val="24"/>
          <w:szCs w:val="24"/>
        </w:rPr>
        <w:t>se hospitals</w:t>
      </w:r>
      <w:r w:rsidR="0048356D" w:rsidRPr="0048356D">
        <w:rPr>
          <w:sz w:val="24"/>
          <w:szCs w:val="24"/>
        </w:rPr>
        <w:t xml:space="preserve"> do not submit hospital-specific data to Medicare, the following data elements are utilized in the reimbursement calculations</w:t>
      </w:r>
      <w:r w:rsidR="0048356D">
        <w:rPr>
          <w:sz w:val="24"/>
          <w:szCs w:val="24"/>
        </w:rPr>
        <w:t>:</w:t>
      </w:r>
    </w:p>
    <w:p w14:paraId="5DBEBE0A" w14:textId="77777777" w:rsidR="00FA58E5" w:rsidRPr="00FA58E5" w:rsidRDefault="00FA58E5" w:rsidP="00A11040">
      <w:pPr>
        <w:pStyle w:val="ListParagraph"/>
        <w:numPr>
          <w:ilvl w:val="0"/>
          <w:numId w:val="22"/>
        </w:numPr>
        <w:spacing w:after="0" w:line="276" w:lineRule="auto"/>
        <w:rPr>
          <w:b/>
          <w:sz w:val="24"/>
          <w:szCs w:val="24"/>
        </w:rPr>
      </w:pPr>
      <w:r w:rsidRPr="00BB205C">
        <w:rPr>
          <w:sz w:val="24"/>
          <w:szCs w:val="24"/>
        </w:rPr>
        <w:t xml:space="preserve">Click </w:t>
      </w:r>
      <w:hyperlink r:id="rId23" w:history="1">
        <w:r w:rsidRPr="00BB205C">
          <w:rPr>
            <w:rStyle w:val="Hyperlink"/>
            <w:sz w:val="24"/>
            <w:szCs w:val="24"/>
          </w:rPr>
          <w:t>here</w:t>
        </w:r>
      </w:hyperlink>
      <w:r w:rsidRPr="00BB205C">
        <w:rPr>
          <w:sz w:val="24"/>
          <w:szCs w:val="24"/>
        </w:rPr>
        <w:t xml:space="preserve"> to </w:t>
      </w:r>
      <w:r>
        <w:rPr>
          <w:sz w:val="24"/>
          <w:szCs w:val="24"/>
        </w:rPr>
        <w:t>go to</w:t>
      </w:r>
      <w:r w:rsidRPr="00BB205C">
        <w:rPr>
          <w:sz w:val="24"/>
          <w:szCs w:val="24"/>
        </w:rPr>
        <w:t xml:space="preserve"> the Medicare final inpatient rules by rate year</w:t>
      </w:r>
      <w:r>
        <w:rPr>
          <w:sz w:val="24"/>
          <w:szCs w:val="24"/>
        </w:rPr>
        <w:t xml:space="preserve"> and select the appropriate year. </w:t>
      </w:r>
      <w:r w:rsidRPr="0048356D">
        <w:rPr>
          <w:sz w:val="24"/>
          <w:szCs w:val="24"/>
        </w:rPr>
        <w:t xml:space="preserve"> </w:t>
      </w:r>
    </w:p>
    <w:p w14:paraId="253EA891" w14:textId="406E2CF0" w:rsidR="0048356D" w:rsidRPr="0048356D" w:rsidRDefault="0048356D" w:rsidP="00A11040">
      <w:pPr>
        <w:pStyle w:val="ListParagraph"/>
        <w:numPr>
          <w:ilvl w:val="0"/>
          <w:numId w:val="22"/>
        </w:numPr>
        <w:spacing w:after="0" w:line="276" w:lineRule="auto"/>
        <w:rPr>
          <w:b/>
          <w:sz w:val="24"/>
          <w:szCs w:val="24"/>
        </w:rPr>
      </w:pPr>
      <w:r w:rsidRPr="0048356D">
        <w:rPr>
          <w:sz w:val="24"/>
          <w:szCs w:val="24"/>
        </w:rPr>
        <w:t xml:space="preserve">Utilize the appropriate Final National Standardized Amounts based on the following factors which are in the </w:t>
      </w:r>
      <w:r w:rsidRPr="008942DC">
        <w:rPr>
          <w:rStyle w:val="Hyperlink"/>
          <w:color w:val="auto"/>
          <w:sz w:val="24"/>
          <w:szCs w:val="24"/>
          <w:u w:val="none"/>
        </w:rPr>
        <w:t>Tables</w:t>
      </w:r>
      <w:r w:rsidRPr="00817097">
        <w:rPr>
          <w:i/>
          <w:sz w:val="24"/>
          <w:szCs w:val="24"/>
        </w:rPr>
        <w:t xml:space="preserve"> </w:t>
      </w:r>
      <w:r w:rsidRPr="008942DC">
        <w:rPr>
          <w:iCs/>
          <w:sz w:val="24"/>
          <w:szCs w:val="24"/>
        </w:rPr>
        <w:t>1A – 1E</w:t>
      </w:r>
      <w:r w:rsidRPr="00817097">
        <w:rPr>
          <w:iCs/>
          <w:sz w:val="24"/>
          <w:szCs w:val="24"/>
        </w:rPr>
        <w:t>.</w:t>
      </w:r>
      <w:r w:rsidRPr="0048356D">
        <w:rPr>
          <w:sz w:val="24"/>
          <w:szCs w:val="24"/>
        </w:rPr>
        <w:t xml:space="preserve"> </w:t>
      </w:r>
    </w:p>
    <w:p w14:paraId="6FD5904D" w14:textId="77777777" w:rsidR="0048356D" w:rsidRPr="004D6C24" w:rsidRDefault="0048356D" w:rsidP="00A11040">
      <w:pPr>
        <w:pStyle w:val="ListParagraph"/>
        <w:numPr>
          <w:ilvl w:val="0"/>
          <w:numId w:val="22"/>
        </w:numPr>
        <w:spacing w:before="240" w:after="200" w:line="276" w:lineRule="auto"/>
        <w:rPr>
          <w:sz w:val="24"/>
          <w:szCs w:val="24"/>
        </w:rPr>
      </w:pPr>
      <w:r w:rsidRPr="004D6C24">
        <w:rPr>
          <w:sz w:val="24"/>
          <w:szCs w:val="24"/>
        </w:rPr>
        <w:t xml:space="preserve">Identify the hospital’s wage index as either </w:t>
      </w:r>
      <w:r w:rsidRPr="004D6C24">
        <w:rPr>
          <w:sz w:val="24"/>
          <w:szCs w:val="24"/>
          <w:u w:val="single"/>
        </w:rPr>
        <w:t>less than or equal to 1.0</w:t>
      </w:r>
      <w:r w:rsidRPr="004D6C24">
        <w:rPr>
          <w:sz w:val="24"/>
          <w:szCs w:val="24"/>
        </w:rPr>
        <w:t xml:space="preserve">; or </w:t>
      </w:r>
      <w:r w:rsidRPr="004D6C24">
        <w:rPr>
          <w:sz w:val="24"/>
          <w:szCs w:val="24"/>
          <w:u w:val="single"/>
        </w:rPr>
        <w:t>greater than 1.0</w:t>
      </w:r>
      <w:r w:rsidRPr="004D6C24">
        <w:rPr>
          <w:sz w:val="24"/>
          <w:szCs w:val="24"/>
        </w:rPr>
        <w:t>:</w:t>
      </w:r>
    </w:p>
    <w:p w14:paraId="6F0DBAB4" w14:textId="77777777" w:rsidR="0048356D" w:rsidRPr="00CC1785" w:rsidRDefault="0048356D" w:rsidP="00A11040">
      <w:pPr>
        <w:pStyle w:val="ListParagraph"/>
        <w:numPr>
          <w:ilvl w:val="2"/>
          <w:numId w:val="12"/>
        </w:numPr>
        <w:spacing w:before="240" w:after="200" w:line="276" w:lineRule="auto"/>
        <w:rPr>
          <w:sz w:val="24"/>
          <w:szCs w:val="24"/>
        </w:rPr>
      </w:pPr>
      <w:r w:rsidRPr="00CC1785">
        <w:rPr>
          <w:sz w:val="24"/>
          <w:szCs w:val="24"/>
        </w:rPr>
        <w:t>Identify the hospital’s physical location state;</w:t>
      </w:r>
    </w:p>
    <w:p w14:paraId="7CC07868" w14:textId="4237F83D" w:rsidR="0048356D" w:rsidRPr="00CC1785" w:rsidRDefault="0048356D" w:rsidP="00A11040">
      <w:pPr>
        <w:pStyle w:val="ListParagraph"/>
        <w:numPr>
          <w:ilvl w:val="2"/>
          <w:numId w:val="12"/>
        </w:numPr>
        <w:spacing w:before="240" w:after="200" w:line="276" w:lineRule="auto"/>
        <w:rPr>
          <w:sz w:val="24"/>
          <w:szCs w:val="24"/>
        </w:rPr>
      </w:pPr>
      <w:r w:rsidRPr="00CC1785">
        <w:rPr>
          <w:sz w:val="24"/>
          <w:szCs w:val="24"/>
        </w:rPr>
        <w:t>Identify the corresponding statewide average wage index for the state in Table 3</w:t>
      </w:r>
      <w:r w:rsidR="00FA58E5">
        <w:rPr>
          <w:sz w:val="24"/>
          <w:szCs w:val="24"/>
        </w:rPr>
        <w:t>.</w:t>
      </w:r>
      <w:r w:rsidRPr="00CC1785">
        <w:rPr>
          <w:sz w:val="24"/>
          <w:szCs w:val="24"/>
        </w:rPr>
        <w:t xml:space="preserve"> </w:t>
      </w:r>
    </w:p>
    <w:p w14:paraId="7ED83912" w14:textId="77777777" w:rsidR="0048356D" w:rsidRPr="00CC1785" w:rsidRDefault="0048356D" w:rsidP="00A11040">
      <w:pPr>
        <w:pStyle w:val="ListParagraph"/>
        <w:numPr>
          <w:ilvl w:val="2"/>
          <w:numId w:val="12"/>
        </w:numPr>
        <w:spacing w:before="240" w:after="200" w:line="276" w:lineRule="auto"/>
        <w:rPr>
          <w:sz w:val="24"/>
          <w:szCs w:val="24"/>
        </w:rPr>
      </w:pPr>
      <w:r w:rsidRPr="00CC1785">
        <w:rPr>
          <w:sz w:val="24"/>
          <w:szCs w:val="24"/>
        </w:rPr>
        <w:t xml:space="preserve">If the statewide average wage index is greater than 1, utilize table 1A. If the statewide average wage index is less than or equal to 1, utilize table 1B.  </w:t>
      </w:r>
    </w:p>
    <w:p w14:paraId="48125B27" w14:textId="77777777" w:rsidR="0048356D" w:rsidRPr="004D6C24" w:rsidRDefault="0048356D" w:rsidP="00A11040">
      <w:pPr>
        <w:pStyle w:val="ListParagraph"/>
        <w:numPr>
          <w:ilvl w:val="2"/>
          <w:numId w:val="12"/>
        </w:numPr>
        <w:spacing w:before="240" w:after="200" w:line="276" w:lineRule="auto"/>
        <w:rPr>
          <w:sz w:val="24"/>
          <w:szCs w:val="24"/>
        </w:rPr>
      </w:pPr>
      <w:r w:rsidRPr="004D6C24">
        <w:rPr>
          <w:sz w:val="24"/>
          <w:szCs w:val="24"/>
        </w:rPr>
        <w:t xml:space="preserve">Utilize the Final National Standardized Amounts for hospitals that did NOT submit quality data </w:t>
      </w:r>
      <w:r w:rsidRPr="004D6C24">
        <w:rPr>
          <w:sz w:val="24"/>
          <w:szCs w:val="24"/>
          <w:u w:val="single"/>
        </w:rPr>
        <w:t>AND</w:t>
      </w:r>
      <w:r w:rsidRPr="004D6C24">
        <w:rPr>
          <w:sz w:val="24"/>
          <w:szCs w:val="24"/>
        </w:rPr>
        <w:t xml:space="preserve"> is NOT a meaningful EHR user.</w:t>
      </w:r>
    </w:p>
    <w:p w14:paraId="033FCB80" w14:textId="2C96E8B5" w:rsidR="0048356D" w:rsidRPr="004D6C24" w:rsidRDefault="0048356D" w:rsidP="00A11040">
      <w:pPr>
        <w:pStyle w:val="ListParagraph"/>
        <w:numPr>
          <w:ilvl w:val="0"/>
          <w:numId w:val="22"/>
        </w:numPr>
        <w:spacing w:before="240" w:after="200" w:line="276" w:lineRule="auto"/>
        <w:rPr>
          <w:sz w:val="24"/>
          <w:szCs w:val="24"/>
        </w:rPr>
      </w:pPr>
      <w:r w:rsidRPr="004D6C24">
        <w:rPr>
          <w:sz w:val="24"/>
          <w:szCs w:val="24"/>
        </w:rPr>
        <w:t xml:space="preserve">Utilize the appropriate urban or rural operating statewide average </w:t>
      </w:r>
      <w:r w:rsidRPr="004D6C24">
        <w:rPr>
          <w:sz w:val="24"/>
          <w:szCs w:val="24"/>
          <w:u w:val="single"/>
        </w:rPr>
        <w:t>operating</w:t>
      </w:r>
      <w:r w:rsidRPr="004D6C24">
        <w:rPr>
          <w:sz w:val="24"/>
          <w:szCs w:val="24"/>
        </w:rPr>
        <w:t xml:space="preserve"> CCR based on the hospital’s physical location and urban/rural designation as found in </w:t>
      </w:r>
      <w:r w:rsidRPr="004D6C24">
        <w:rPr>
          <w:rStyle w:val="Hyperlink"/>
          <w:sz w:val="24"/>
          <w:szCs w:val="24"/>
        </w:rPr>
        <w:t xml:space="preserve"> </w:t>
      </w:r>
      <w:r w:rsidR="00FA58E5">
        <w:rPr>
          <w:sz w:val="24"/>
          <w:szCs w:val="24"/>
        </w:rPr>
        <w:t>Ta</w:t>
      </w:r>
      <w:r w:rsidRPr="004D6C24">
        <w:rPr>
          <w:sz w:val="24"/>
          <w:szCs w:val="24"/>
        </w:rPr>
        <w:t>ble 8a.</w:t>
      </w:r>
    </w:p>
    <w:p w14:paraId="416EA94B" w14:textId="5C246FAE" w:rsidR="0048356D" w:rsidRPr="00CC1785" w:rsidRDefault="0048356D" w:rsidP="00A11040">
      <w:pPr>
        <w:pStyle w:val="ListParagraph"/>
        <w:numPr>
          <w:ilvl w:val="2"/>
          <w:numId w:val="22"/>
        </w:numPr>
        <w:spacing w:before="240" w:after="200" w:line="276" w:lineRule="auto"/>
        <w:rPr>
          <w:sz w:val="24"/>
          <w:szCs w:val="24"/>
        </w:rPr>
      </w:pPr>
      <w:r w:rsidRPr="00CC1785">
        <w:rPr>
          <w:sz w:val="24"/>
          <w:szCs w:val="24"/>
        </w:rPr>
        <w:t>Using the county and state of the hospital’s physical location, identify the</w:t>
      </w:r>
      <w:r w:rsidR="00FA58E5">
        <w:rPr>
          <w:sz w:val="24"/>
          <w:szCs w:val="24"/>
        </w:rPr>
        <w:t xml:space="preserve"> Core Based Statistical Area (</w:t>
      </w:r>
      <w:r w:rsidRPr="00CC1785">
        <w:rPr>
          <w:sz w:val="24"/>
          <w:szCs w:val="24"/>
        </w:rPr>
        <w:t>CBSA</w:t>
      </w:r>
      <w:r w:rsidR="00FA58E5">
        <w:rPr>
          <w:sz w:val="24"/>
          <w:szCs w:val="24"/>
        </w:rPr>
        <w:t>)</w:t>
      </w:r>
      <w:r w:rsidRPr="00CC1785">
        <w:rPr>
          <w:sz w:val="24"/>
          <w:szCs w:val="24"/>
        </w:rPr>
        <w:t>, using the</w:t>
      </w:r>
      <w:r w:rsidR="00FA58E5">
        <w:rPr>
          <w:sz w:val="24"/>
          <w:szCs w:val="24"/>
        </w:rPr>
        <w:t xml:space="preserve"> final rule Data File named</w:t>
      </w:r>
      <w:r w:rsidRPr="00CC1785">
        <w:rPr>
          <w:sz w:val="24"/>
          <w:szCs w:val="24"/>
        </w:rPr>
        <w:t xml:space="preserve"> </w:t>
      </w:r>
      <w:r w:rsidRPr="00CC1785">
        <w:rPr>
          <w:bCs/>
          <w:i/>
          <w:sz w:val="24"/>
          <w:szCs w:val="24"/>
          <w:lang w:val="en"/>
        </w:rPr>
        <w:t>County to CBSA Crosswalk File and Urban CBSAs and Constituent Counties for Acute Care Hospitals File</w:t>
      </w:r>
      <w:r w:rsidRPr="00CC1785">
        <w:rPr>
          <w:sz w:val="24"/>
          <w:szCs w:val="24"/>
        </w:rPr>
        <w:t xml:space="preserve">.  </w:t>
      </w:r>
    </w:p>
    <w:p w14:paraId="4D617A24" w14:textId="77777777" w:rsidR="0048356D" w:rsidRPr="00CC1785" w:rsidRDefault="0048356D" w:rsidP="00A11040">
      <w:pPr>
        <w:pStyle w:val="ListParagraph"/>
        <w:numPr>
          <w:ilvl w:val="2"/>
          <w:numId w:val="22"/>
        </w:numPr>
        <w:spacing w:before="240" w:after="200" w:line="276" w:lineRule="auto"/>
        <w:rPr>
          <w:sz w:val="24"/>
          <w:szCs w:val="24"/>
        </w:rPr>
      </w:pPr>
      <w:r w:rsidRPr="00CC1785">
        <w:rPr>
          <w:sz w:val="24"/>
          <w:szCs w:val="24"/>
        </w:rPr>
        <w:t>If a CBSA is listed for the county and state, then the hospital shall be designated as “urban.” If there is no CBSA listed for the county, then the hospital shall be designated as “rural.”</w:t>
      </w:r>
    </w:p>
    <w:p w14:paraId="2F978408" w14:textId="77777777" w:rsidR="0048356D" w:rsidRPr="00CC1785" w:rsidRDefault="0048356D" w:rsidP="00A11040">
      <w:pPr>
        <w:pStyle w:val="ListParagraph"/>
        <w:numPr>
          <w:ilvl w:val="2"/>
          <w:numId w:val="22"/>
        </w:numPr>
        <w:spacing w:before="240" w:after="200" w:line="276" w:lineRule="auto"/>
        <w:rPr>
          <w:sz w:val="24"/>
          <w:szCs w:val="24"/>
        </w:rPr>
      </w:pPr>
      <w:r w:rsidRPr="00CC1785">
        <w:rPr>
          <w:sz w:val="24"/>
          <w:szCs w:val="24"/>
        </w:rPr>
        <w:t>Utilize the corresponding statewide average operating CCR for the state and urban/rural designation for payment calculation.</w:t>
      </w:r>
    </w:p>
    <w:p w14:paraId="62B0EF49" w14:textId="6665B37D" w:rsidR="0048356D" w:rsidRPr="00CC1785" w:rsidRDefault="0048356D" w:rsidP="00A11040">
      <w:pPr>
        <w:pStyle w:val="ListParagraph"/>
        <w:numPr>
          <w:ilvl w:val="0"/>
          <w:numId w:val="22"/>
        </w:numPr>
        <w:spacing w:before="240" w:after="200" w:line="276" w:lineRule="auto"/>
        <w:rPr>
          <w:sz w:val="24"/>
          <w:szCs w:val="24"/>
        </w:rPr>
      </w:pPr>
      <w:r w:rsidRPr="00CC1785">
        <w:rPr>
          <w:sz w:val="24"/>
          <w:szCs w:val="24"/>
        </w:rPr>
        <w:lastRenderedPageBreak/>
        <w:t xml:space="preserve">Utilize the appropriate urban or rural operating statewide </w:t>
      </w:r>
      <w:r w:rsidRPr="00CC1785">
        <w:rPr>
          <w:sz w:val="24"/>
          <w:szCs w:val="24"/>
          <w:u w:val="single"/>
        </w:rPr>
        <w:t>capital</w:t>
      </w:r>
      <w:r w:rsidRPr="00CC1785">
        <w:rPr>
          <w:sz w:val="24"/>
          <w:szCs w:val="24"/>
        </w:rPr>
        <w:t xml:space="preserve"> CCR based on the hospital’s physical location and urban/rural designation as found in </w:t>
      </w:r>
      <w:r w:rsidR="00BC1404">
        <w:rPr>
          <w:sz w:val="24"/>
          <w:szCs w:val="24"/>
        </w:rPr>
        <w:t>T</w:t>
      </w:r>
      <w:r w:rsidRPr="00CC1785">
        <w:rPr>
          <w:sz w:val="24"/>
          <w:szCs w:val="24"/>
        </w:rPr>
        <w:t>able 8b.</w:t>
      </w:r>
    </w:p>
    <w:p w14:paraId="38D8AF31" w14:textId="77777777" w:rsidR="0048356D" w:rsidRPr="00CC1785" w:rsidRDefault="0048356D" w:rsidP="00A11040">
      <w:pPr>
        <w:pStyle w:val="ListParagraph"/>
        <w:numPr>
          <w:ilvl w:val="0"/>
          <w:numId w:val="22"/>
        </w:numPr>
        <w:spacing w:before="240" w:after="200" w:line="276" w:lineRule="auto"/>
        <w:rPr>
          <w:sz w:val="24"/>
          <w:szCs w:val="24"/>
        </w:rPr>
      </w:pPr>
      <w:r w:rsidRPr="00CC1785">
        <w:rPr>
          <w:sz w:val="24"/>
          <w:szCs w:val="24"/>
        </w:rPr>
        <w:t>DGME is not applied to non-Medicare participating hospitals.</w:t>
      </w:r>
    </w:p>
    <w:p w14:paraId="15781506" w14:textId="087A80AF" w:rsidR="0048356D" w:rsidRPr="00A032F1" w:rsidRDefault="00A032F1" w:rsidP="00A032F1">
      <w:pPr>
        <w:spacing w:before="240"/>
        <w:ind w:firstLine="720"/>
        <w:rPr>
          <w:sz w:val="24"/>
          <w:szCs w:val="24"/>
        </w:rPr>
      </w:pPr>
      <w:r>
        <w:rPr>
          <w:sz w:val="24"/>
          <w:szCs w:val="24"/>
        </w:rPr>
        <w:t>Example</w:t>
      </w:r>
      <w:r w:rsidR="0048356D" w:rsidRPr="00A032F1">
        <w:rPr>
          <w:sz w:val="24"/>
          <w:szCs w:val="24"/>
        </w:rPr>
        <w:t xml:space="preserve">: </w:t>
      </w:r>
      <w:r w:rsidR="0048356D" w:rsidRPr="00CE3B30">
        <w:rPr>
          <w:sz w:val="24"/>
          <w:szCs w:val="24"/>
        </w:rPr>
        <w:t>Riverview Health Institute</w:t>
      </w:r>
      <w:r w:rsidR="0048356D" w:rsidRPr="00A032F1">
        <w:rPr>
          <w:sz w:val="24"/>
          <w:szCs w:val="24"/>
        </w:rPr>
        <w:t xml:space="preserve"> – RY </w:t>
      </w:r>
      <w:r w:rsidR="00137AEB">
        <w:rPr>
          <w:sz w:val="24"/>
          <w:szCs w:val="24"/>
        </w:rPr>
        <w:t>2021</w:t>
      </w:r>
      <w:r w:rsidR="00137AEB" w:rsidRPr="00A032F1">
        <w:rPr>
          <w:sz w:val="24"/>
          <w:szCs w:val="24"/>
        </w:rPr>
        <w:t xml:space="preserve"> </w:t>
      </w:r>
      <w:r w:rsidR="0048356D" w:rsidRPr="00A032F1">
        <w:rPr>
          <w:sz w:val="24"/>
          <w:szCs w:val="24"/>
        </w:rPr>
        <w:t>Updates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160"/>
      </w:tblGrid>
      <w:tr w:rsidR="0048356D" w:rsidRPr="00DA1A2F" w14:paraId="22B2A3E7" w14:textId="77777777" w:rsidTr="003655AA">
        <w:trPr>
          <w:trHeight w:val="413"/>
        </w:trPr>
        <w:tc>
          <w:tcPr>
            <w:tcW w:w="8280" w:type="dxa"/>
            <w:gridSpan w:val="2"/>
            <w:shd w:val="clear" w:color="auto" w:fill="B4C6E7" w:themeFill="accent1" w:themeFillTint="66"/>
          </w:tcPr>
          <w:p w14:paraId="3ACB4213" w14:textId="77777777" w:rsidR="0048356D" w:rsidRPr="0094089F" w:rsidRDefault="0048356D" w:rsidP="00DA6DD1">
            <w:pPr>
              <w:pStyle w:val="ListParagraph"/>
              <w:jc w:val="center"/>
              <w:rPr>
                <w:b/>
              </w:rPr>
            </w:pPr>
            <w:r w:rsidRPr="0094089F">
              <w:rPr>
                <w:b/>
              </w:rPr>
              <w:t>Non-Medicare Participating Provider (Wage Index &lt;/= 1)</w:t>
            </w:r>
          </w:p>
        </w:tc>
      </w:tr>
      <w:tr w:rsidR="0048356D" w:rsidRPr="005D69CE" w14:paraId="5E0C1362" w14:textId="77777777" w:rsidTr="003655AA">
        <w:trPr>
          <w:trHeight w:val="287"/>
        </w:trPr>
        <w:tc>
          <w:tcPr>
            <w:tcW w:w="6120" w:type="dxa"/>
          </w:tcPr>
          <w:p w14:paraId="3A4695F5" w14:textId="77777777" w:rsidR="0048356D" w:rsidRPr="005D69CE" w:rsidRDefault="0048356D" w:rsidP="00DA6DD1">
            <w:pPr>
              <w:rPr>
                <w:sz w:val="24"/>
                <w:szCs w:val="24"/>
              </w:rPr>
            </w:pPr>
            <w:r w:rsidRPr="005D69CE">
              <w:rPr>
                <w:sz w:val="24"/>
                <w:szCs w:val="24"/>
              </w:rPr>
              <w:t>Labor - Related Standardized Amount</w:t>
            </w:r>
          </w:p>
        </w:tc>
        <w:tc>
          <w:tcPr>
            <w:tcW w:w="2160" w:type="dxa"/>
          </w:tcPr>
          <w:p w14:paraId="40F3A4F5" w14:textId="114AE519" w:rsidR="0048356D" w:rsidRPr="005D3A70" w:rsidRDefault="0048356D" w:rsidP="00DA6DD1">
            <w:pPr>
              <w:rPr>
                <w:sz w:val="24"/>
                <w:szCs w:val="24"/>
              </w:rPr>
            </w:pPr>
            <w:r w:rsidRPr="005D3A70">
              <w:rPr>
                <w:sz w:val="24"/>
                <w:szCs w:val="24"/>
              </w:rPr>
              <w:t>$</w:t>
            </w:r>
            <w:r w:rsidR="00B4519B">
              <w:rPr>
                <w:sz w:val="24"/>
                <w:szCs w:val="24"/>
              </w:rPr>
              <w:t>3609.3</w:t>
            </w:r>
            <w:r w:rsidR="0078607B">
              <w:rPr>
                <w:sz w:val="24"/>
                <w:szCs w:val="24"/>
              </w:rPr>
              <w:t>9</w:t>
            </w:r>
          </w:p>
        </w:tc>
      </w:tr>
      <w:tr w:rsidR="0048356D" w:rsidRPr="005D69CE" w14:paraId="26C5B494" w14:textId="77777777" w:rsidTr="003655AA">
        <w:trPr>
          <w:trHeight w:val="377"/>
        </w:trPr>
        <w:tc>
          <w:tcPr>
            <w:tcW w:w="6120" w:type="dxa"/>
          </w:tcPr>
          <w:p w14:paraId="10508247" w14:textId="77777777" w:rsidR="0048356D" w:rsidRPr="005D69CE" w:rsidRDefault="0048356D" w:rsidP="00DA6DD1">
            <w:pPr>
              <w:rPr>
                <w:sz w:val="24"/>
                <w:szCs w:val="24"/>
              </w:rPr>
            </w:pPr>
            <w:r w:rsidRPr="005D69CE">
              <w:rPr>
                <w:sz w:val="24"/>
                <w:szCs w:val="24"/>
              </w:rPr>
              <w:t>Nonlabor - Related Standardized Amount</w:t>
            </w:r>
          </w:p>
        </w:tc>
        <w:tc>
          <w:tcPr>
            <w:tcW w:w="2160" w:type="dxa"/>
          </w:tcPr>
          <w:p w14:paraId="7BA291F1" w14:textId="5143FEFF" w:rsidR="0048356D" w:rsidRPr="005D69CE" w:rsidRDefault="0048356D" w:rsidP="00DA6DD1">
            <w:pPr>
              <w:rPr>
                <w:sz w:val="24"/>
                <w:szCs w:val="24"/>
              </w:rPr>
            </w:pPr>
            <w:r w:rsidRPr="005D69CE">
              <w:rPr>
                <w:sz w:val="24"/>
                <w:szCs w:val="24"/>
              </w:rPr>
              <w:t>$2</w:t>
            </w:r>
            <w:r w:rsidR="00B4519B">
              <w:rPr>
                <w:sz w:val="24"/>
                <w:szCs w:val="24"/>
              </w:rPr>
              <w:t>212</w:t>
            </w:r>
            <w:r w:rsidR="0078607B">
              <w:rPr>
                <w:sz w:val="24"/>
                <w:szCs w:val="24"/>
              </w:rPr>
              <w:t>.20</w:t>
            </w:r>
          </w:p>
        </w:tc>
      </w:tr>
      <w:tr w:rsidR="0048356D" w:rsidRPr="005D69CE" w14:paraId="658DA73D" w14:textId="77777777" w:rsidTr="003655AA">
        <w:trPr>
          <w:trHeight w:val="419"/>
        </w:trPr>
        <w:tc>
          <w:tcPr>
            <w:tcW w:w="6120" w:type="dxa"/>
          </w:tcPr>
          <w:p w14:paraId="09AD4625" w14:textId="77777777" w:rsidR="0048356D" w:rsidRPr="005D69CE" w:rsidRDefault="0048356D" w:rsidP="00DA6DD1">
            <w:pPr>
              <w:rPr>
                <w:sz w:val="24"/>
                <w:szCs w:val="24"/>
              </w:rPr>
            </w:pPr>
            <w:r w:rsidRPr="005D69CE">
              <w:rPr>
                <w:sz w:val="24"/>
                <w:szCs w:val="24"/>
              </w:rPr>
              <w:t>Hospital Name</w:t>
            </w:r>
          </w:p>
        </w:tc>
        <w:tc>
          <w:tcPr>
            <w:tcW w:w="2160" w:type="dxa"/>
          </w:tcPr>
          <w:p w14:paraId="5768ABA4" w14:textId="77777777" w:rsidR="0048356D" w:rsidRPr="005D69CE" w:rsidRDefault="0048356D" w:rsidP="00DA6DD1">
            <w:pPr>
              <w:rPr>
                <w:sz w:val="24"/>
                <w:szCs w:val="24"/>
              </w:rPr>
            </w:pPr>
            <w:r w:rsidRPr="005D69CE">
              <w:rPr>
                <w:sz w:val="24"/>
                <w:szCs w:val="24"/>
              </w:rPr>
              <w:t>Riverview Health Institute</w:t>
            </w:r>
          </w:p>
        </w:tc>
      </w:tr>
      <w:tr w:rsidR="0048356D" w:rsidRPr="005D69CE" w14:paraId="448DBA48" w14:textId="77777777" w:rsidTr="003655AA">
        <w:trPr>
          <w:trHeight w:val="419"/>
        </w:trPr>
        <w:tc>
          <w:tcPr>
            <w:tcW w:w="6120" w:type="dxa"/>
          </w:tcPr>
          <w:p w14:paraId="0655C840" w14:textId="0AAE17C2" w:rsidR="0048356D" w:rsidRPr="005D69CE" w:rsidRDefault="0048356D" w:rsidP="00DA6DD1">
            <w:pPr>
              <w:rPr>
                <w:sz w:val="24"/>
                <w:szCs w:val="24"/>
              </w:rPr>
            </w:pPr>
            <w:r w:rsidRPr="005D69CE">
              <w:rPr>
                <w:sz w:val="24"/>
                <w:szCs w:val="24"/>
              </w:rPr>
              <w:t>Hospital CBSA (Table 3</w:t>
            </w:r>
            <w:r w:rsidR="002E309E">
              <w:rPr>
                <w:sz w:val="24"/>
                <w:szCs w:val="24"/>
              </w:rPr>
              <w:t>)</w:t>
            </w:r>
          </w:p>
        </w:tc>
        <w:tc>
          <w:tcPr>
            <w:tcW w:w="2160" w:type="dxa"/>
          </w:tcPr>
          <w:p w14:paraId="23EFE0BF" w14:textId="705652F2" w:rsidR="0048356D" w:rsidRPr="005D69CE" w:rsidRDefault="002E309E" w:rsidP="00DA6DD1">
            <w:pPr>
              <w:rPr>
                <w:sz w:val="24"/>
                <w:szCs w:val="24"/>
              </w:rPr>
            </w:pPr>
            <w:r>
              <w:rPr>
                <w:sz w:val="24"/>
                <w:szCs w:val="24"/>
              </w:rPr>
              <w:t>19430</w:t>
            </w:r>
          </w:p>
        </w:tc>
      </w:tr>
      <w:tr w:rsidR="0048356D" w:rsidRPr="005D69CE" w14:paraId="6F5865FD" w14:textId="77777777" w:rsidTr="003655AA">
        <w:trPr>
          <w:trHeight w:val="427"/>
        </w:trPr>
        <w:tc>
          <w:tcPr>
            <w:tcW w:w="6120" w:type="dxa"/>
          </w:tcPr>
          <w:p w14:paraId="0C302D28" w14:textId="70F6E4CE" w:rsidR="0048356D" w:rsidRPr="005D69CE" w:rsidRDefault="0048356D" w:rsidP="00DA6DD1">
            <w:pPr>
              <w:rPr>
                <w:sz w:val="24"/>
                <w:szCs w:val="24"/>
              </w:rPr>
            </w:pPr>
            <w:r w:rsidRPr="005D69CE">
              <w:rPr>
                <w:sz w:val="24"/>
                <w:szCs w:val="24"/>
              </w:rPr>
              <w:t xml:space="preserve">Wage Index </w:t>
            </w:r>
            <w:r w:rsidR="002E309E">
              <w:rPr>
                <w:sz w:val="24"/>
                <w:szCs w:val="24"/>
              </w:rPr>
              <w:t>(Table 3)</w:t>
            </w:r>
          </w:p>
        </w:tc>
        <w:tc>
          <w:tcPr>
            <w:tcW w:w="2160" w:type="dxa"/>
          </w:tcPr>
          <w:p w14:paraId="2F411892" w14:textId="0501C4FA" w:rsidR="0048356D" w:rsidRPr="005D69CE" w:rsidRDefault="0048356D" w:rsidP="00DA6DD1">
            <w:pPr>
              <w:rPr>
                <w:sz w:val="24"/>
                <w:szCs w:val="24"/>
              </w:rPr>
            </w:pPr>
            <w:r w:rsidRPr="005D69CE">
              <w:rPr>
                <w:sz w:val="24"/>
                <w:szCs w:val="24"/>
              </w:rPr>
              <w:t>0.</w:t>
            </w:r>
            <w:r w:rsidR="0078607B">
              <w:rPr>
                <w:sz w:val="24"/>
                <w:szCs w:val="24"/>
              </w:rPr>
              <w:t>9209</w:t>
            </w:r>
          </w:p>
        </w:tc>
      </w:tr>
      <w:tr w:rsidR="0048356D" w:rsidRPr="005D69CE" w14:paraId="20DA1EDD" w14:textId="77777777" w:rsidTr="003655AA">
        <w:trPr>
          <w:trHeight w:val="427"/>
        </w:trPr>
        <w:tc>
          <w:tcPr>
            <w:tcW w:w="6120" w:type="dxa"/>
          </w:tcPr>
          <w:p w14:paraId="2D4D89A8" w14:textId="77777777" w:rsidR="0048356D" w:rsidRPr="005D69CE" w:rsidRDefault="0048356D" w:rsidP="00DA6DD1">
            <w:pPr>
              <w:rPr>
                <w:sz w:val="24"/>
                <w:szCs w:val="24"/>
              </w:rPr>
            </w:pPr>
            <w:r w:rsidRPr="005D69CE">
              <w:rPr>
                <w:sz w:val="24"/>
                <w:szCs w:val="24"/>
              </w:rPr>
              <w:t>Area Name (Table 3 CN)</w:t>
            </w:r>
          </w:p>
        </w:tc>
        <w:tc>
          <w:tcPr>
            <w:tcW w:w="2160" w:type="dxa"/>
          </w:tcPr>
          <w:p w14:paraId="12A6B77E" w14:textId="77777777" w:rsidR="0048356D" w:rsidRPr="005D69CE" w:rsidRDefault="0048356D" w:rsidP="00DA6DD1">
            <w:pPr>
              <w:rPr>
                <w:sz w:val="24"/>
                <w:szCs w:val="24"/>
              </w:rPr>
            </w:pPr>
            <w:r w:rsidRPr="005D69CE">
              <w:rPr>
                <w:sz w:val="24"/>
                <w:szCs w:val="24"/>
              </w:rPr>
              <w:t xml:space="preserve">Dayton, OH </w:t>
            </w:r>
          </w:p>
        </w:tc>
      </w:tr>
      <w:tr w:rsidR="0048356D" w:rsidRPr="005D69CE" w14:paraId="3F02A464" w14:textId="77777777" w:rsidTr="003655AA">
        <w:trPr>
          <w:trHeight w:val="142"/>
        </w:trPr>
        <w:tc>
          <w:tcPr>
            <w:tcW w:w="6120" w:type="dxa"/>
          </w:tcPr>
          <w:p w14:paraId="6ADEBFB3" w14:textId="071AA03D" w:rsidR="0048356D" w:rsidRPr="005D69CE" w:rsidRDefault="0048356D" w:rsidP="00DA6DD1">
            <w:pPr>
              <w:rPr>
                <w:sz w:val="24"/>
                <w:szCs w:val="24"/>
              </w:rPr>
            </w:pPr>
            <w:r w:rsidRPr="005D69CE">
              <w:rPr>
                <w:sz w:val="24"/>
                <w:szCs w:val="24"/>
              </w:rPr>
              <w:t>Ohio Urban Operating Statewide Average CCR (Table 8a)</w:t>
            </w:r>
          </w:p>
        </w:tc>
        <w:tc>
          <w:tcPr>
            <w:tcW w:w="2160" w:type="dxa"/>
          </w:tcPr>
          <w:p w14:paraId="7E6D37CD" w14:textId="3B80ACC1" w:rsidR="0048356D" w:rsidRPr="005D69CE" w:rsidRDefault="0048356D" w:rsidP="00DA6DD1">
            <w:pPr>
              <w:rPr>
                <w:sz w:val="24"/>
                <w:szCs w:val="24"/>
              </w:rPr>
            </w:pPr>
            <w:r w:rsidRPr="005D69CE">
              <w:rPr>
                <w:sz w:val="24"/>
                <w:szCs w:val="24"/>
              </w:rPr>
              <w:t>0.23</w:t>
            </w:r>
            <w:r w:rsidR="002E309E">
              <w:rPr>
                <w:sz w:val="24"/>
                <w:szCs w:val="24"/>
              </w:rPr>
              <w:t>1</w:t>
            </w:r>
          </w:p>
        </w:tc>
      </w:tr>
      <w:tr w:rsidR="0048356D" w:rsidRPr="005D69CE" w14:paraId="2EA76682" w14:textId="77777777" w:rsidTr="003655AA">
        <w:trPr>
          <w:trHeight w:val="142"/>
        </w:trPr>
        <w:tc>
          <w:tcPr>
            <w:tcW w:w="6120" w:type="dxa"/>
          </w:tcPr>
          <w:p w14:paraId="63695FFA" w14:textId="42FB58E2" w:rsidR="0048356D" w:rsidRPr="005D69CE" w:rsidRDefault="0048356D" w:rsidP="00DA6DD1">
            <w:pPr>
              <w:rPr>
                <w:sz w:val="24"/>
                <w:szCs w:val="24"/>
              </w:rPr>
            </w:pPr>
            <w:r w:rsidRPr="005D69CE">
              <w:rPr>
                <w:sz w:val="24"/>
                <w:szCs w:val="24"/>
              </w:rPr>
              <w:t>Ohio Capital Statewide Average CCR (Table 8b)</w:t>
            </w:r>
          </w:p>
        </w:tc>
        <w:tc>
          <w:tcPr>
            <w:tcW w:w="2160" w:type="dxa"/>
          </w:tcPr>
          <w:p w14:paraId="5C93D6E1" w14:textId="3884F4F8" w:rsidR="0048356D" w:rsidRPr="005D69CE" w:rsidRDefault="0048356D" w:rsidP="00DA6DD1">
            <w:pPr>
              <w:rPr>
                <w:sz w:val="24"/>
                <w:szCs w:val="24"/>
              </w:rPr>
            </w:pPr>
            <w:r w:rsidRPr="005D69CE">
              <w:rPr>
                <w:sz w:val="24"/>
                <w:szCs w:val="24"/>
              </w:rPr>
              <w:t>0.02</w:t>
            </w:r>
            <w:r w:rsidR="002E309E">
              <w:rPr>
                <w:sz w:val="24"/>
                <w:szCs w:val="24"/>
              </w:rPr>
              <w:t>2</w:t>
            </w:r>
          </w:p>
        </w:tc>
      </w:tr>
    </w:tbl>
    <w:p w14:paraId="67144ADD" w14:textId="77777777" w:rsidR="0048356D" w:rsidRPr="006D5F7C" w:rsidRDefault="0048356D" w:rsidP="006D5F7C">
      <w:pPr>
        <w:spacing w:after="0"/>
        <w:rPr>
          <w:sz w:val="24"/>
          <w:szCs w:val="24"/>
        </w:rPr>
      </w:pPr>
    </w:p>
    <w:p w14:paraId="1088DEA0" w14:textId="77777777" w:rsidR="00956405" w:rsidRPr="004D6C24" w:rsidRDefault="002754DB" w:rsidP="00A11040">
      <w:pPr>
        <w:pStyle w:val="ListParagraph"/>
        <w:numPr>
          <w:ilvl w:val="0"/>
          <w:numId w:val="11"/>
        </w:numPr>
        <w:spacing w:after="0"/>
        <w:rPr>
          <w:b/>
          <w:sz w:val="24"/>
          <w:szCs w:val="24"/>
        </w:rPr>
      </w:pPr>
      <w:r w:rsidRPr="004D6C24">
        <w:rPr>
          <w:b/>
          <w:sz w:val="24"/>
          <w:szCs w:val="24"/>
        </w:rPr>
        <w:t xml:space="preserve">Modification to </w:t>
      </w:r>
      <w:r w:rsidR="00956405" w:rsidRPr="004D6C24">
        <w:rPr>
          <w:b/>
          <w:sz w:val="24"/>
          <w:szCs w:val="24"/>
        </w:rPr>
        <w:t>Cost-to-Charge Ratios</w:t>
      </w:r>
      <w:r w:rsidR="006E6705">
        <w:rPr>
          <w:b/>
          <w:sz w:val="24"/>
          <w:szCs w:val="24"/>
        </w:rPr>
        <w:t xml:space="preserve"> (CCRs)</w:t>
      </w:r>
    </w:p>
    <w:p w14:paraId="6DD14789" w14:textId="61080F65" w:rsidR="00AC5953" w:rsidRPr="005D69CE" w:rsidRDefault="00A032F1" w:rsidP="004D6C24">
      <w:pPr>
        <w:spacing w:after="0"/>
        <w:ind w:left="360"/>
        <w:rPr>
          <w:sz w:val="24"/>
          <w:szCs w:val="24"/>
        </w:rPr>
      </w:pPr>
      <w:r>
        <w:rPr>
          <w:rFonts w:eastAsiaTheme="minorHAnsi"/>
          <w:sz w:val="24"/>
          <w:szCs w:val="22"/>
        </w:rPr>
        <w:t>For discharges beginning February 1</w:t>
      </w:r>
      <w:r w:rsidR="00CE3B30">
        <w:rPr>
          <w:rFonts w:eastAsiaTheme="minorHAnsi"/>
          <w:sz w:val="24"/>
          <w:szCs w:val="22"/>
        </w:rPr>
        <w:t>,</w:t>
      </w:r>
      <w:r>
        <w:rPr>
          <w:rFonts w:eastAsiaTheme="minorHAnsi"/>
          <w:sz w:val="24"/>
          <w:szCs w:val="22"/>
        </w:rPr>
        <w:t xml:space="preserve"> </w:t>
      </w:r>
      <w:r w:rsidR="00AC5953">
        <w:rPr>
          <w:sz w:val="24"/>
          <w:szCs w:val="24"/>
        </w:rPr>
        <w:t xml:space="preserve">BWC utilizes the </w:t>
      </w:r>
      <w:r w:rsidR="008250FF">
        <w:rPr>
          <w:sz w:val="24"/>
          <w:szCs w:val="24"/>
        </w:rPr>
        <w:t xml:space="preserve">Medicare’s </w:t>
      </w:r>
      <w:r w:rsidR="00AC5953" w:rsidRPr="00AC5953">
        <w:rPr>
          <w:sz w:val="24"/>
          <w:szCs w:val="24"/>
        </w:rPr>
        <w:t xml:space="preserve">July </w:t>
      </w:r>
      <w:r w:rsidR="000072ED">
        <w:rPr>
          <w:sz w:val="24"/>
          <w:szCs w:val="24"/>
        </w:rPr>
        <w:t>2020 CCRs</w:t>
      </w:r>
      <w:r w:rsidR="00AC5953" w:rsidRPr="00AC5953">
        <w:rPr>
          <w:sz w:val="24"/>
          <w:szCs w:val="24"/>
        </w:rPr>
        <w:t xml:space="preserve"> in the pricing calculation</w:t>
      </w:r>
      <w:r w:rsidR="00DA55B5">
        <w:rPr>
          <w:sz w:val="24"/>
          <w:szCs w:val="24"/>
        </w:rPr>
        <w:t>s</w:t>
      </w:r>
      <w:r w:rsidR="006C4103">
        <w:rPr>
          <w:sz w:val="24"/>
          <w:szCs w:val="24"/>
        </w:rPr>
        <w:t xml:space="preserve"> which are derived</w:t>
      </w:r>
      <w:r>
        <w:rPr>
          <w:sz w:val="24"/>
          <w:szCs w:val="24"/>
        </w:rPr>
        <w:t xml:space="preserve"> from the July </w:t>
      </w:r>
      <w:r w:rsidR="00137AEB">
        <w:rPr>
          <w:sz w:val="24"/>
          <w:szCs w:val="24"/>
        </w:rPr>
        <w:t xml:space="preserve">2020 </w:t>
      </w:r>
      <w:r w:rsidR="006C4103">
        <w:rPr>
          <w:sz w:val="24"/>
          <w:szCs w:val="24"/>
        </w:rPr>
        <w:t xml:space="preserve">inpatient </w:t>
      </w:r>
      <w:r w:rsidRPr="005D69CE">
        <w:rPr>
          <w:sz w:val="24"/>
          <w:szCs w:val="24"/>
        </w:rPr>
        <w:t>provider specific files (PSFs).</w:t>
      </w:r>
    </w:p>
    <w:p w14:paraId="10B24171" w14:textId="563F4B49" w:rsidR="000F27F9" w:rsidRPr="005D69CE" w:rsidRDefault="000F27F9" w:rsidP="00A11040">
      <w:pPr>
        <w:numPr>
          <w:ilvl w:val="0"/>
          <w:numId w:val="15"/>
        </w:numPr>
        <w:spacing w:after="0" w:line="276" w:lineRule="auto"/>
        <w:rPr>
          <w:sz w:val="24"/>
          <w:szCs w:val="24"/>
        </w:rPr>
      </w:pPr>
      <w:r w:rsidRPr="005D69CE">
        <w:rPr>
          <w:sz w:val="24"/>
          <w:szCs w:val="24"/>
        </w:rPr>
        <w:t xml:space="preserve">Inpatient PSF – </w:t>
      </w:r>
      <w:r w:rsidR="005D69CE" w:rsidRPr="005D69CE">
        <w:rPr>
          <w:sz w:val="24"/>
          <w:szCs w:val="24"/>
        </w:rPr>
        <w:t>INPpsf</w:t>
      </w:r>
      <w:r w:rsidR="005D69CE" w:rsidRPr="008942DC">
        <w:rPr>
          <w:sz w:val="24"/>
          <w:szCs w:val="24"/>
        </w:rPr>
        <w:t>20</w:t>
      </w:r>
      <w:r w:rsidR="005D69CE" w:rsidRPr="005D69CE">
        <w:rPr>
          <w:sz w:val="24"/>
          <w:szCs w:val="24"/>
        </w:rPr>
        <w:t>07</w:t>
      </w:r>
      <w:r w:rsidRPr="005D69CE">
        <w:rPr>
          <w:sz w:val="24"/>
          <w:szCs w:val="24"/>
        </w:rPr>
        <w:t>.xls</w:t>
      </w:r>
    </w:p>
    <w:p w14:paraId="21854A78" w14:textId="55381AAB" w:rsidR="000F27F9" w:rsidRPr="005D69CE" w:rsidRDefault="000F27F9" w:rsidP="00A11040">
      <w:pPr>
        <w:numPr>
          <w:ilvl w:val="0"/>
          <w:numId w:val="15"/>
        </w:numPr>
        <w:spacing w:after="0" w:line="276" w:lineRule="auto"/>
        <w:rPr>
          <w:sz w:val="24"/>
          <w:szCs w:val="24"/>
        </w:rPr>
      </w:pPr>
      <w:r w:rsidRPr="005D69CE">
        <w:rPr>
          <w:sz w:val="24"/>
          <w:szCs w:val="24"/>
        </w:rPr>
        <w:t xml:space="preserve">Inpatient Rehab PSF – </w:t>
      </w:r>
      <w:r w:rsidR="005D69CE" w:rsidRPr="005D69CE">
        <w:rPr>
          <w:sz w:val="24"/>
          <w:szCs w:val="24"/>
        </w:rPr>
        <w:t>IRFpsf</w:t>
      </w:r>
      <w:r w:rsidR="005D69CE" w:rsidRPr="008942DC">
        <w:rPr>
          <w:sz w:val="24"/>
          <w:szCs w:val="24"/>
        </w:rPr>
        <w:t>20</w:t>
      </w:r>
      <w:r w:rsidR="005D69CE" w:rsidRPr="005D69CE">
        <w:rPr>
          <w:sz w:val="24"/>
          <w:szCs w:val="24"/>
        </w:rPr>
        <w:t>07</w:t>
      </w:r>
      <w:r w:rsidRPr="005D69CE">
        <w:rPr>
          <w:sz w:val="24"/>
          <w:szCs w:val="24"/>
        </w:rPr>
        <w:t>.xls</w:t>
      </w:r>
    </w:p>
    <w:p w14:paraId="11869CD6" w14:textId="6463E238" w:rsidR="000F27F9" w:rsidRPr="005D69CE" w:rsidRDefault="000F27F9" w:rsidP="00A11040">
      <w:pPr>
        <w:numPr>
          <w:ilvl w:val="0"/>
          <w:numId w:val="15"/>
        </w:numPr>
        <w:spacing w:after="0" w:line="276" w:lineRule="auto"/>
        <w:rPr>
          <w:sz w:val="24"/>
          <w:szCs w:val="24"/>
        </w:rPr>
      </w:pPr>
      <w:r w:rsidRPr="005D69CE">
        <w:rPr>
          <w:sz w:val="24"/>
          <w:szCs w:val="24"/>
        </w:rPr>
        <w:t xml:space="preserve">Long Term Care PSF – </w:t>
      </w:r>
      <w:r w:rsidR="005D69CE" w:rsidRPr="005D69CE">
        <w:rPr>
          <w:sz w:val="24"/>
          <w:szCs w:val="24"/>
        </w:rPr>
        <w:t>LTCpsf</w:t>
      </w:r>
      <w:r w:rsidR="005D69CE" w:rsidRPr="008942DC">
        <w:rPr>
          <w:sz w:val="24"/>
          <w:szCs w:val="24"/>
        </w:rPr>
        <w:t>20</w:t>
      </w:r>
      <w:r w:rsidR="005D69CE" w:rsidRPr="005D69CE">
        <w:rPr>
          <w:sz w:val="24"/>
          <w:szCs w:val="24"/>
        </w:rPr>
        <w:t>07</w:t>
      </w:r>
      <w:r w:rsidRPr="005D69CE">
        <w:rPr>
          <w:sz w:val="24"/>
          <w:szCs w:val="24"/>
        </w:rPr>
        <w:t>.xls</w:t>
      </w:r>
    </w:p>
    <w:p w14:paraId="743B7CE7" w14:textId="66EA5ED9" w:rsidR="000F27F9" w:rsidRPr="005D69CE" w:rsidRDefault="000F27F9" w:rsidP="00A11040">
      <w:pPr>
        <w:numPr>
          <w:ilvl w:val="0"/>
          <w:numId w:val="15"/>
        </w:numPr>
        <w:spacing w:after="0" w:line="276" w:lineRule="auto"/>
        <w:rPr>
          <w:sz w:val="24"/>
          <w:szCs w:val="24"/>
        </w:rPr>
      </w:pPr>
      <w:r w:rsidRPr="005D69CE">
        <w:rPr>
          <w:sz w:val="24"/>
          <w:szCs w:val="24"/>
        </w:rPr>
        <w:t xml:space="preserve">Inpatient Psychiatric Facility PSF – </w:t>
      </w:r>
      <w:r w:rsidR="005D69CE" w:rsidRPr="005D69CE">
        <w:rPr>
          <w:sz w:val="24"/>
          <w:szCs w:val="24"/>
        </w:rPr>
        <w:t>IPFpsf</w:t>
      </w:r>
      <w:r w:rsidR="005D69CE" w:rsidRPr="008942DC">
        <w:rPr>
          <w:sz w:val="24"/>
          <w:szCs w:val="24"/>
        </w:rPr>
        <w:t>20</w:t>
      </w:r>
      <w:r w:rsidR="005D69CE" w:rsidRPr="005D69CE">
        <w:rPr>
          <w:sz w:val="24"/>
          <w:szCs w:val="24"/>
        </w:rPr>
        <w:t>07</w:t>
      </w:r>
      <w:r w:rsidRPr="005D69CE">
        <w:rPr>
          <w:sz w:val="24"/>
          <w:szCs w:val="24"/>
        </w:rPr>
        <w:t>.xls</w:t>
      </w:r>
    </w:p>
    <w:p w14:paraId="2933AED8" w14:textId="77777777" w:rsidR="000F27F9" w:rsidRDefault="000F27F9" w:rsidP="000F27F9">
      <w:pPr>
        <w:spacing w:after="0"/>
        <w:ind w:left="360"/>
        <w:rPr>
          <w:sz w:val="24"/>
          <w:szCs w:val="24"/>
        </w:rPr>
      </w:pPr>
    </w:p>
    <w:p w14:paraId="3EC750F0" w14:textId="4845A93C" w:rsidR="006E6705" w:rsidRPr="002D40FA" w:rsidRDefault="000F27F9" w:rsidP="006C4103">
      <w:pPr>
        <w:pStyle w:val="ListParagraph"/>
        <w:ind w:left="360"/>
        <w:rPr>
          <w:sz w:val="24"/>
          <w:szCs w:val="24"/>
        </w:rPr>
      </w:pPr>
      <w:r w:rsidRPr="000F27F9">
        <w:rPr>
          <w:sz w:val="24"/>
          <w:szCs w:val="24"/>
        </w:rPr>
        <w:t xml:space="preserve">For hospitals doing business with Ohio BWC in the past 18 months, the July </w:t>
      </w:r>
      <w:r w:rsidR="00137AEB">
        <w:rPr>
          <w:sz w:val="24"/>
          <w:szCs w:val="24"/>
        </w:rPr>
        <w:t xml:space="preserve">2020 </w:t>
      </w:r>
      <w:r w:rsidR="006C4103">
        <w:rPr>
          <w:sz w:val="24"/>
          <w:szCs w:val="24"/>
        </w:rPr>
        <w:t xml:space="preserve">inpatient </w:t>
      </w:r>
      <w:r w:rsidRPr="000F27F9">
        <w:rPr>
          <w:sz w:val="24"/>
          <w:szCs w:val="24"/>
        </w:rPr>
        <w:t>hospital cost-to-charge ratios can be found on BWC’s Web site with OAC 4123-6-37.1 (</w:t>
      </w:r>
      <w:hyperlink r:id="rId24" w:history="1">
        <w:r w:rsidR="00DA6DD1">
          <w:rPr>
            <w:rStyle w:val="Hyperlink"/>
            <w:rFonts w:cstheme="minorHAnsi"/>
            <w:sz w:val="24"/>
            <w:szCs w:val="24"/>
          </w:rPr>
          <w:t>BWC's inpatient fee schedule</w:t>
        </w:r>
      </w:hyperlink>
      <w:r w:rsidRPr="000F27F9">
        <w:rPr>
          <w:rStyle w:val="Hyperlink"/>
          <w:sz w:val="24"/>
          <w:szCs w:val="24"/>
        </w:rPr>
        <w:t>)</w:t>
      </w:r>
      <w:r w:rsidRPr="000F27F9">
        <w:rPr>
          <w:sz w:val="24"/>
          <w:szCs w:val="24"/>
        </w:rPr>
        <w:t xml:space="preserve">.  </w:t>
      </w:r>
      <w:r w:rsidR="006C4103">
        <w:rPr>
          <w:sz w:val="24"/>
          <w:szCs w:val="24"/>
        </w:rPr>
        <w:t xml:space="preserve">See the </w:t>
      </w:r>
      <w:r w:rsidR="006E6705">
        <w:rPr>
          <w:sz w:val="24"/>
          <w:szCs w:val="24"/>
        </w:rPr>
        <w:t xml:space="preserve">document </w:t>
      </w:r>
      <w:r w:rsidR="006C4103">
        <w:rPr>
          <w:sz w:val="24"/>
          <w:szCs w:val="24"/>
        </w:rPr>
        <w:t>titled</w:t>
      </w:r>
      <w:r w:rsidR="006E6705">
        <w:rPr>
          <w:sz w:val="24"/>
          <w:szCs w:val="24"/>
        </w:rPr>
        <w:t xml:space="preserve"> “IPPS – Hospital Cost-to-Charge Ratios.”  For hospitals not listed in th</w:t>
      </w:r>
      <w:r w:rsidR="006C4103">
        <w:rPr>
          <w:sz w:val="24"/>
          <w:szCs w:val="24"/>
        </w:rPr>
        <w:t>at</w:t>
      </w:r>
      <w:r w:rsidR="006E6705">
        <w:rPr>
          <w:sz w:val="24"/>
          <w:szCs w:val="24"/>
        </w:rPr>
        <w:t xml:space="preserve"> document, the tab labeled “How to Determine CCRs” in that document provides instructions on identifying </w:t>
      </w:r>
      <w:r w:rsidR="006C4103">
        <w:rPr>
          <w:sz w:val="24"/>
          <w:szCs w:val="24"/>
        </w:rPr>
        <w:t>hospital</w:t>
      </w:r>
      <w:r w:rsidR="006E6705">
        <w:rPr>
          <w:sz w:val="24"/>
          <w:szCs w:val="24"/>
        </w:rPr>
        <w:t xml:space="preserve"> CCRs.</w:t>
      </w:r>
      <w:r w:rsidR="005D69CE">
        <w:rPr>
          <w:sz w:val="24"/>
          <w:szCs w:val="24"/>
        </w:rPr>
        <w:t xml:space="preserve"> The section below also describes this process.</w:t>
      </w:r>
    </w:p>
    <w:p w14:paraId="7F78D110" w14:textId="77777777" w:rsidR="006E6705" w:rsidRDefault="006E6705" w:rsidP="006E6705">
      <w:pPr>
        <w:pStyle w:val="ListParagraph"/>
        <w:spacing w:after="0" w:line="276" w:lineRule="auto"/>
        <w:rPr>
          <w:b/>
          <w:sz w:val="24"/>
          <w:szCs w:val="24"/>
        </w:rPr>
      </w:pPr>
    </w:p>
    <w:p w14:paraId="58F956C3" w14:textId="77777777" w:rsidR="006E6705" w:rsidRPr="006E6705" w:rsidRDefault="006E6705" w:rsidP="00A11040">
      <w:pPr>
        <w:pStyle w:val="ListParagraph"/>
        <w:numPr>
          <w:ilvl w:val="0"/>
          <w:numId w:val="11"/>
        </w:numPr>
        <w:spacing w:after="0" w:line="276" w:lineRule="auto"/>
        <w:rPr>
          <w:b/>
          <w:sz w:val="24"/>
          <w:szCs w:val="24"/>
        </w:rPr>
      </w:pPr>
      <w:r w:rsidRPr="006E6705">
        <w:rPr>
          <w:b/>
          <w:sz w:val="24"/>
          <w:szCs w:val="24"/>
        </w:rPr>
        <w:t>Hospitals without CCRs</w:t>
      </w:r>
    </w:p>
    <w:p w14:paraId="378FE29B" w14:textId="1F7B14DF" w:rsidR="00FE1469" w:rsidRDefault="006E6705" w:rsidP="006E6705">
      <w:pPr>
        <w:spacing w:after="0"/>
        <w:ind w:left="360"/>
        <w:rPr>
          <w:sz w:val="24"/>
          <w:szCs w:val="24"/>
        </w:rPr>
      </w:pPr>
      <w:r w:rsidRPr="002D40FA">
        <w:rPr>
          <w:sz w:val="24"/>
          <w:szCs w:val="24"/>
        </w:rPr>
        <w:t xml:space="preserve">For hospitals that did not maintain Medicare CCRs and new hospitals, the Medicare </w:t>
      </w:r>
      <w:r w:rsidR="00137AEB">
        <w:rPr>
          <w:sz w:val="24"/>
          <w:szCs w:val="24"/>
        </w:rPr>
        <w:t>2021</w:t>
      </w:r>
      <w:r w:rsidR="00137AEB" w:rsidRPr="002D40FA">
        <w:rPr>
          <w:sz w:val="24"/>
          <w:szCs w:val="24"/>
        </w:rPr>
        <w:t xml:space="preserve"> </w:t>
      </w:r>
      <w:r w:rsidRPr="002D40FA">
        <w:rPr>
          <w:sz w:val="24"/>
          <w:szCs w:val="24"/>
        </w:rPr>
        <w:t xml:space="preserve">urban or rural statewide average operating CCR is used to calculate reimbursement.  </w:t>
      </w:r>
    </w:p>
    <w:p w14:paraId="49AAE06B" w14:textId="648DD7E5" w:rsidR="00FE1469" w:rsidRPr="00FE1469" w:rsidRDefault="00FE1469" w:rsidP="00FE1469">
      <w:pPr>
        <w:spacing w:after="0"/>
        <w:ind w:left="360"/>
        <w:rPr>
          <w:sz w:val="24"/>
          <w:szCs w:val="24"/>
        </w:rPr>
      </w:pPr>
      <w:r w:rsidRPr="00FE1469">
        <w:rPr>
          <w:sz w:val="24"/>
          <w:szCs w:val="24"/>
        </w:rPr>
        <w:lastRenderedPageBreak/>
        <w:t xml:space="preserve">To assist self-insured employers in bill pricing, BWC </w:t>
      </w:r>
      <w:r w:rsidR="000072ED">
        <w:rPr>
          <w:sz w:val="24"/>
          <w:szCs w:val="24"/>
        </w:rPr>
        <w:t>provides</w:t>
      </w:r>
      <w:r w:rsidRPr="00FE1469">
        <w:rPr>
          <w:sz w:val="24"/>
          <w:szCs w:val="24"/>
        </w:rPr>
        <w:t xml:space="preserve"> a list of the inpatient CCRs for hospitals that are </w:t>
      </w:r>
      <w:r w:rsidR="000072ED">
        <w:rPr>
          <w:sz w:val="24"/>
          <w:szCs w:val="24"/>
        </w:rPr>
        <w:t>enrolled with BWC and have billed BWC within the last 18 months</w:t>
      </w:r>
      <w:r w:rsidRPr="00FE1469">
        <w:rPr>
          <w:sz w:val="24"/>
          <w:szCs w:val="24"/>
        </w:rPr>
        <w:t xml:space="preserve">. If the hospital </w:t>
      </w:r>
      <w:r w:rsidR="000072ED">
        <w:rPr>
          <w:sz w:val="24"/>
          <w:szCs w:val="24"/>
        </w:rPr>
        <w:t>is not enrolled and actively billing</w:t>
      </w:r>
      <w:r w:rsidRPr="00FE1469">
        <w:rPr>
          <w:sz w:val="24"/>
          <w:szCs w:val="24"/>
        </w:rPr>
        <w:t xml:space="preserve">, then the CCR will not be included in the document. In those cases, the self-insured employer can access the Medicare public files to identify the hospital’s inpatient CCR. </w:t>
      </w:r>
      <w:r w:rsidR="00293696">
        <w:rPr>
          <w:sz w:val="24"/>
          <w:szCs w:val="24"/>
        </w:rPr>
        <w:t>The steps below indicate how to identify a hospital-specific CCR in the Medicare Inpatient Provider Specific Files.</w:t>
      </w:r>
    </w:p>
    <w:p w14:paraId="3B7045A2" w14:textId="77777777" w:rsidR="00FE1469" w:rsidRPr="00FE1469" w:rsidRDefault="00FE1469" w:rsidP="00FE1469">
      <w:pPr>
        <w:spacing w:after="0"/>
        <w:ind w:left="360"/>
        <w:rPr>
          <w:sz w:val="24"/>
          <w:szCs w:val="24"/>
        </w:rPr>
      </w:pPr>
    </w:p>
    <w:p w14:paraId="5D2C2CBE" w14:textId="382EAA51" w:rsidR="00FE1469" w:rsidRPr="00293696" w:rsidRDefault="00FE1469" w:rsidP="00FE1469">
      <w:pPr>
        <w:spacing w:after="0"/>
        <w:ind w:left="360"/>
        <w:rPr>
          <w:sz w:val="24"/>
          <w:szCs w:val="24"/>
          <w:u w:val="single"/>
        </w:rPr>
      </w:pPr>
      <w:r w:rsidRPr="00293696">
        <w:rPr>
          <w:sz w:val="24"/>
          <w:szCs w:val="24"/>
          <w:u w:val="single"/>
        </w:rPr>
        <w:t xml:space="preserve">Identifying the hospital-specific CCR in the Medicare Inpatient Provider Specific Files (IPSFs): </w:t>
      </w:r>
    </w:p>
    <w:p w14:paraId="02BD6D83" w14:textId="2EFDA295" w:rsidR="00FE1469" w:rsidRPr="00FE1469" w:rsidRDefault="00FE1469" w:rsidP="00FE1469">
      <w:pPr>
        <w:spacing w:after="0"/>
        <w:ind w:left="360"/>
        <w:rPr>
          <w:sz w:val="24"/>
          <w:szCs w:val="24"/>
        </w:rPr>
      </w:pPr>
      <w:r w:rsidRPr="00FE1469">
        <w:rPr>
          <w:sz w:val="24"/>
          <w:szCs w:val="24"/>
        </w:rPr>
        <w:t xml:space="preserve">a. The hospital-specific Medicare CCRs for this methodology come from the July </w:t>
      </w:r>
      <w:r w:rsidR="005D69CE">
        <w:rPr>
          <w:sz w:val="24"/>
          <w:szCs w:val="24"/>
        </w:rPr>
        <w:t>2020</w:t>
      </w:r>
      <w:r w:rsidR="005D69CE" w:rsidRPr="00FE1469">
        <w:rPr>
          <w:sz w:val="24"/>
          <w:szCs w:val="24"/>
        </w:rPr>
        <w:t xml:space="preserve"> </w:t>
      </w:r>
      <w:r w:rsidRPr="00FE1469">
        <w:rPr>
          <w:sz w:val="24"/>
          <w:szCs w:val="24"/>
        </w:rPr>
        <w:t xml:space="preserve">inpatient provider specific files (IPSF) in use by Medicare.  There are four separate files used: inpatient, inpatient rehab, long term care and inpatient psychiatric facility.  They can be found on the Medicare Web site: Home &gt; Medicare &gt; Prospective Payment Systems - General Information &gt; Provider Specific Data for Public Use in SAS or text Format, or click on the following link: </w:t>
      </w:r>
    </w:p>
    <w:p w14:paraId="381EF110" w14:textId="16120C23" w:rsidR="00FE1469" w:rsidRPr="00FE1469" w:rsidRDefault="00922B31" w:rsidP="00FE1469">
      <w:pPr>
        <w:spacing w:after="0"/>
        <w:ind w:left="360"/>
        <w:rPr>
          <w:sz w:val="24"/>
          <w:szCs w:val="24"/>
        </w:rPr>
      </w:pPr>
      <w:hyperlink r:id="rId25" w:history="1">
        <w:r w:rsidR="00FE1469" w:rsidRPr="00344656">
          <w:rPr>
            <w:rStyle w:val="Hyperlink"/>
            <w:sz w:val="24"/>
            <w:szCs w:val="24"/>
          </w:rPr>
          <w:t>https://www.cms.gov/Medicare/Medicare-Fee-for-Service-Payment/ProspMedicareFeeSvcPmtGen/psf_text.html</w:t>
        </w:r>
      </w:hyperlink>
      <w:r w:rsidR="00FE1469">
        <w:rPr>
          <w:sz w:val="24"/>
          <w:szCs w:val="24"/>
        </w:rPr>
        <w:t xml:space="preserve"> </w:t>
      </w:r>
    </w:p>
    <w:p w14:paraId="1612CEAE" w14:textId="77777777" w:rsidR="00FE1469" w:rsidRPr="00FE1469" w:rsidRDefault="00FE1469" w:rsidP="00FE1469">
      <w:pPr>
        <w:spacing w:after="0"/>
        <w:ind w:left="360"/>
        <w:rPr>
          <w:sz w:val="24"/>
          <w:szCs w:val="24"/>
        </w:rPr>
      </w:pPr>
    </w:p>
    <w:p w14:paraId="6A8FA7D9" w14:textId="5353086B" w:rsidR="00FE1469" w:rsidRPr="00FE1469" w:rsidRDefault="00FE1469" w:rsidP="00FE1469">
      <w:pPr>
        <w:spacing w:after="0"/>
        <w:ind w:left="360"/>
        <w:rPr>
          <w:sz w:val="24"/>
          <w:szCs w:val="24"/>
        </w:rPr>
      </w:pPr>
      <w:r w:rsidRPr="00FE1469">
        <w:rPr>
          <w:sz w:val="24"/>
          <w:szCs w:val="24"/>
        </w:rPr>
        <w:t xml:space="preserve">b. Select the appropriate provider specific file based on the hospital type.  These IPSFs are to be used for the entire rate year for discharge dates beginning February 1, </w:t>
      </w:r>
      <w:r w:rsidR="005D69CE">
        <w:rPr>
          <w:sz w:val="24"/>
          <w:szCs w:val="24"/>
        </w:rPr>
        <w:t>2021</w:t>
      </w:r>
      <w:r w:rsidRPr="00FE1469">
        <w:rPr>
          <w:sz w:val="24"/>
          <w:szCs w:val="24"/>
        </w:rPr>
        <w:t xml:space="preserve">. Subsequent Medicare IPSF updates should not be used. </w:t>
      </w:r>
    </w:p>
    <w:p w14:paraId="24272A58" w14:textId="77777777" w:rsidR="00FE1469" w:rsidRPr="00FE1469" w:rsidRDefault="00FE1469" w:rsidP="00FE1469">
      <w:pPr>
        <w:spacing w:after="0"/>
        <w:ind w:left="360"/>
        <w:rPr>
          <w:sz w:val="24"/>
          <w:szCs w:val="24"/>
        </w:rPr>
      </w:pPr>
    </w:p>
    <w:p w14:paraId="0D9024C6" w14:textId="77777777" w:rsidR="00FE1469" w:rsidRPr="00FE1469" w:rsidRDefault="00FE1469" w:rsidP="00FE1469">
      <w:pPr>
        <w:spacing w:after="0"/>
        <w:ind w:left="360"/>
        <w:rPr>
          <w:sz w:val="24"/>
          <w:szCs w:val="24"/>
        </w:rPr>
      </w:pPr>
      <w:r w:rsidRPr="00FE1469">
        <w:rPr>
          <w:sz w:val="24"/>
          <w:szCs w:val="24"/>
        </w:rPr>
        <w:t xml:space="preserve">c. Find the hospital using their numeric or alpha-numeric Medicare provider number, also known as the OSCAR number and/or the National Provider ID (NPI). </w:t>
      </w:r>
    </w:p>
    <w:p w14:paraId="6DDF793F" w14:textId="77777777" w:rsidR="00FE1469" w:rsidRPr="00FE1469" w:rsidRDefault="00FE1469" w:rsidP="00FE1469">
      <w:pPr>
        <w:spacing w:after="0"/>
        <w:ind w:left="360"/>
        <w:rPr>
          <w:sz w:val="24"/>
          <w:szCs w:val="24"/>
        </w:rPr>
      </w:pPr>
    </w:p>
    <w:p w14:paraId="313B645E" w14:textId="77777777" w:rsidR="00FE1469" w:rsidRPr="00FE1469" w:rsidRDefault="00FE1469" w:rsidP="00FE1469">
      <w:pPr>
        <w:spacing w:after="0"/>
        <w:ind w:left="360"/>
        <w:rPr>
          <w:sz w:val="24"/>
          <w:szCs w:val="24"/>
        </w:rPr>
      </w:pPr>
      <w:r w:rsidRPr="00FE1469">
        <w:rPr>
          <w:sz w:val="24"/>
          <w:szCs w:val="24"/>
        </w:rPr>
        <w:t xml:space="preserve">d. The CCR to be used in pricing the bill can be found under the column labeled “CCR.” </w:t>
      </w:r>
    </w:p>
    <w:p w14:paraId="4E863500" w14:textId="77777777" w:rsidR="00FE1469" w:rsidRPr="00FE1469" w:rsidRDefault="00FE1469" w:rsidP="00FE1469">
      <w:pPr>
        <w:spacing w:after="0"/>
        <w:ind w:left="360"/>
        <w:rPr>
          <w:sz w:val="24"/>
          <w:szCs w:val="24"/>
        </w:rPr>
      </w:pPr>
    </w:p>
    <w:p w14:paraId="0DAC2C73" w14:textId="487A53E1" w:rsidR="00FE1469" w:rsidRPr="00FE1469" w:rsidRDefault="00FE1469" w:rsidP="00FE1469">
      <w:pPr>
        <w:spacing w:after="0"/>
        <w:ind w:left="360"/>
        <w:rPr>
          <w:sz w:val="24"/>
          <w:szCs w:val="24"/>
        </w:rPr>
      </w:pPr>
      <w:r w:rsidRPr="00FE1469">
        <w:rPr>
          <w:sz w:val="24"/>
          <w:szCs w:val="24"/>
        </w:rPr>
        <w:t>e.  Next, multiply the CCR by 1.14 (</w:t>
      </w:r>
      <w:r w:rsidR="00D21FE3">
        <w:rPr>
          <w:sz w:val="24"/>
          <w:szCs w:val="24"/>
        </w:rPr>
        <w:t xml:space="preserve">i.e. </w:t>
      </w:r>
      <w:r w:rsidRPr="00FE1469">
        <w:rPr>
          <w:sz w:val="24"/>
          <w:szCs w:val="24"/>
        </w:rPr>
        <w:t xml:space="preserve">114% of cost).  Please note, the final CCR used in this calculation shall be capped at .70. </w:t>
      </w:r>
    </w:p>
    <w:p w14:paraId="2131FD63" w14:textId="77777777" w:rsidR="00FE1469" w:rsidRPr="00FE1469" w:rsidRDefault="00FE1469" w:rsidP="00FE1469">
      <w:pPr>
        <w:spacing w:after="0"/>
        <w:ind w:left="360"/>
        <w:rPr>
          <w:sz w:val="24"/>
          <w:szCs w:val="24"/>
        </w:rPr>
      </w:pPr>
    </w:p>
    <w:p w14:paraId="15D28EFE" w14:textId="4D6868A4" w:rsidR="00FE1469" w:rsidRDefault="00FE1469" w:rsidP="00FE1469">
      <w:pPr>
        <w:spacing w:after="0"/>
        <w:ind w:left="360"/>
        <w:rPr>
          <w:sz w:val="24"/>
          <w:szCs w:val="24"/>
        </w:rPr>
      </w:pPr>
      <w:r w:rsidRPr="00FE1469">
        <w:rPr>
          <w:sz w:val="24"/>
          <w:szCs w:val="24"/>
        </w:rPr>
        <w:t>Below is an example of a calculating the final CCR using an CCR of .359:</w:t>
      </w:r>
    </w:p>
    <w:p w14:paraId="49C45973" w14:textId="77777777" w:rsidR="00FE1469" w:rsidRPr="00FE1469" w:rsidRDefault="00FE1469" w:rsidP="00FE1469">
      <w:pPr>
        <w:spacing w:after="0"/>
        <w:ind w:left="360"/>
        <w:rPr>
          <w:sz w:val="24"/>
          <w:szCs w:val="24"/>
        </w:rPr>
      </w:pPr>
      <w:r w:rsidRPr="00FE1469">
        <w:rPr>
          <w:sz w:val="24"/>
          <w:szCs w:val="24"/>
        </w:rPr>
        <w:t xml:space="preserve">.359 x 1.14 = .409 </w:t>
      </w:r>
    </w:p>
    <w:p w14:paraId="0BAB7637" w14:textId="77777777" w:rsidR="00FE1469" w:rsidRDefault="00FE1469" w:rsidP="00FE1469">
      <w:pPr>
        <w:spacing w:after="0"/>
        <w:ind w:left="360"/>
        <w:rPr>
          <w:sz w:val="24"/>
          <w:szCs w:val="24"/>
        </w:rPr>
      </w:pPr>
    </w:p>
    <w:p w14:paraId="0CA86CF1" w14:textId="645AD508" w:rsidR="00FE1469" w:rsidRPr="00FE1469" w:rsidRDefault="00FE1469" w:rsidP="00FE1469">
      <w:pPr>
        <w:spacing w:after="0"/>
        <w:ind w:left="360"/>
        <w:rPr>
          <w:sz w:val="24"/>
          <w:szCs w:val="24"/>
        </w:rPr>
      </w:pPr>
      <w:r w:rsidRPr="00FE1469">
        <w:rPr>
          <w:sz w:val="24"/>
          <w:szCs w:val="24"/>
        </w:rPr>
        <w:t>f. The final CCR (.409) is then multiplied by the allowed billed charges to arrive at the appropriate reimbursement rate.  Below is an example of the final calculation where the allowed billed charges are $5000:</w:t>
      </w:r>
    </w:p>
    <w:p w14:paraId="34681D10" w14:textId="77777777" w:rsidR="00FE1469" w:rsidRPr="00FE1469" w:rsidRDefault="00FE1469" w:rsidP="00FE1469">
      <w:pPr>
        <w:spacing w:after="0"/>
        <w:ind w:left="360"/>
        <w:rPr>
          <w:sz w:val="24"/>
          <w:szCs w:val="24"/>
        </w:rPr>
      </w:pPr>
      <w:r w:rsidRPr="00FE1469">
        <w:rPr>
          <w:sz w:val="24"/>
          <w:szCs w:val="24"/>
        </w:rPr>
        <w:t>$5000 x .409 = $2045</w:t>
      </w:r>
    </w:p>
    <w:p w14:paraId="192FBB8B" w14:textId="77777777" w:rsidR="00FE1469" w:rsidRPr="00FE1469" w:rsidRDefault="00FE1469" w:rsidP="00FE1469">
      <w:pPr>
        <w:spacing w:after="0"/>
        <w:ind w:left="360"/>
        <w:rPr>
          <w:sz w:val="24"/>
          <w:szCs w:val="24"/>
        </w:rPr>
      </w:pPr>
    </w:p>
    <w:p w14:paraId="573A76F9" w14:textId="0CCFD155" w:rsidR="00FE1469" w:rsidRPr="00293696" w:rsidRDefault="00FE1469" w:rsidP="00FE1469">
      <w:pPr>
        <w:spacing w:after="0"/>
        <w:ind w:left="360"/>
        <w:rPr>
          <w:sz w:val="24"/>
          <w:szCs w:val="24"/>
          <w:u w:val="single"/>
        </w:rPr>
      </w:pPr>
      <w:r w:rsidRPr="00293696">
        <w:rPr>
          <w:sz w:val="24"/>
          <w:szCs w:val="24"/>
          <w:u w:val="single"/>
        </w:rPr>
        <w:t xml:space="preserve">Identifying the CCR for a hospital not listed in the IPSFs: </w:t>
      </w:r>
    </w:p>
    <w:p w14:paraId="78F30020" w14:textId="65589959" w:rsidR="00FE1469" w:rsidRPr="00FE1469" w:rsidRDefault="00FE1469" w:rsidP="00FE1469">
      <w:pPr>
        <w:spacing w:after="0"/>
        <w:ind w:left="360"/>
        <w:rPr>
          <w:sz w:val="24"/>
          <w:szCs w:val="24"/>
        </w:rPr>
      </w:pPr>
      <w:r w:rsidRPr="00FE1469">
        <w:rPr>
          <w:sz w:val="24"/>
          <w:szCs w:val="24"/>
        </w:rPr>
        <w:t>Some hospitals will not be listed in the IPSFs (e.g. new hospitals that have not yet submitted a cost report</w:t>
      </w:r>
      <w:r w:rsidR="00B06099">
        <w:rPr>
          <w:sz w:val="24"/>
          <w:szCs w:val="24"/>
        </w:rPr>
        <w:t>,</w:t>
      </w:r>
      <w:r w:rsidRPr="00FE1469">
        <w:rPr>
          <w:sz w:val="24"/>
          <w:szCs w:val="24"/>
        </w:rPr>
        <w:t xml:space="preserve"> etc.). In that case, rule 4123-6-37.1 allows </w:t>
      </w:r>
      <w:r w:rsidR="00B06099">
        <w:rPr>
          <w:sz w:val="24"/>
          <w:szCs w:val="24"/>
        </w:rPr>
        <w:t xml:space="preserve">for </w:t>
      </w:r>
      <w:r w:rsidRPr="00FE1469">
        <w:rPr>
          <w:sz w:val="24"/>
          <w:szCs w:val="24"/>
        </w:rPr>
        <w:t>reimburs</w:t>
      </w:r>
      <w:r w:rsidR="00B06099">
        <w:rPr>
          <w:sz w:val="24"/>
          <w:szCs w:val="24"/>
        </w:rPr>
        <w:t>ement</w:t>
      </w:r>
      <w:r w:rsidRPr="00FE1469">
        <w:rPr>
          <w:sz w:val="24"/>
          <w:szCs w:val="24"/>
        </w:rPr>
        <w:t xml:space="preserve"> utiliz</w:t>
      </w:r>
      <w:r w:rsidR="00B06099">
        <w:rPr>
          <w:sz w:val="24"/>
          <w:szCs w:val="24"/>
        </w:rPr>
        <w:t>ing</w:t>
      </w:r>
      <w:r w:rsidRPr="00FE1469">
        <w:rPr>
          <w:sz w:val="24"/>
          <w:szCs w:val="24"/>
        </w:rPr>
        <w:t xml:space="preserve"> the </w:t>
      </w:r>
      <w:r w:rsidRPr="00FE1469">
        <w:rPr>
          <w:sz w:val="24"/>
          <w:szCs w:val="24"/>
        </w:rPr>
        <w:lastRenderedPageBreak/>
        <w:t xml:space="preserve">appropriate urban or rural statewide average inpatient CCR instead of the hospital-specific CCR in the aforementioned calculation. </w:t>
      </w:r>
    </w:p>
    <w:p w14:paraId="1D58CB61" w14:textId="77777777" w:rsidR="00FE1469" w:rsidRPr="00FE1469" w:rsidRDefault="00FE1469" w:rsidP="00FE1469">
      <w:pPr>
        <w:spacing w:after="0"/>
        <w:ind w:left="360"/>
        <w:rPr>
          <w:sz w:val="24"/>
          <w:szCs w:val="24"/>
        </w:rPr>
      </w:pPr>
    </w:p>
    <w:p w14:paraId="727F1689" w14:textId="77777777" w:rsidR="00FE1469" w:rsidRPr="00FE1469" w:rsidRDefault="00FE1469" w:rsidP="00FE1469">
      <w:pPr>
        <w:spacing w:after="0"/>
        <w:ind w:left="360"/>
        <w:rPr>
          <w:sz w:val="24"/>
          <w:szCs w:val="24"/>
        </w:rPr>
      </w:pPr>
      <w:r w:rsidRPr="00FE1469">
        <w:rPr>
          <w:sz w:val="24"/>
          <w:szCs w:val="24"/>
        </w:rPr>
        <w:t xml:space="preserve">a. Identify the address for the physical location of the facility. Specifically, locate the correct county and state.  A good resource for identifying the county is www.zipinfo.com.   </w:t>
      </w:r>
    </w:p>
    <w:p w14:paraId="10907EDB" w14:textId="77777777" w:rsidR="00FE1469" w:rsidRPr="00FE1469" w:rsidRDefault="00FE1469" w:rsidP="00FE1469">
      <w:pPr>
        <w:spacing w:after="0"/>
        <w:ind w:left="360"/>
        <w:rPr>
          <w:sz w:val="24"/>
          <w:szCs w:val="24"/>
        </w:rPr>
      </w:pPr>
    </w:p>
    <w:p w14:paraId="70939E33" w14:textId="548C1E10" w:rsidR="00FE1469" w:rsidRPr="00B06099" w:rsidRDefault="00FE1469" w:rsidP="00FE1469">
      <w:pPr>
        <w:spacing w:after="0"/>
        <w:ind w:left="360"/>
        <w:rPr>
          <w:sz w:val="24"/>
          <w:szCs w:val="24"/>
        </w:rPr>
      </w:pPr>
      <w:r w:rsidRPr="00FE1469">
        <w:rPr>
          <w:sz w:val="24"/>
          <w:szCs w:val="24"/>
        </w:rPr>
        <w:t xml:space="preserve">b. Access the Medicare County to CBSA Crosswalk File and Urban CBSAs and Constituent Counties for Acute Care Hospitals File. </w:t>
      </w:r>
      <w:r w:rsidR="00CB4F43" w:rsidRPr="00BB205C">
        <w:rPr>
          <w:sz w:val="24"/>
          <w:szCs w:val="24"/>
        </w:rPr>
        <w:t xml:space="preserve">Click </w:t>
      </w:r>
      <w:hyperlink r:id="rId26" w:history="1">
        <w:r w:rsidR="00CB4F43" w:rsidRPr="00BB205C">
          <w:rPr>
            <w:rStyle w:val="Hyperlink"/>
            <w:sz w:val="24"/>
            <w:szCs w:val="24"/>
          </w:rPr>
          <w:t>here</w:t>
        </w:r>
      </w:hyperlink>
      <w:r w:rsidR="00CB4F43" w:rsidRPr="00BB205C">
        <w:rPr>
          <w:sz w:val="24"/>
          <w:szCs w:val="24"/>
        </w:rPr>
        <w:t xml:space="preserve"> to </w:t>
      </w:r>
      <w:r w:rsidR="00CB4F43">
        <w:rPr>
          <w:sz w:val="24"/>
          <w:szCs w:val="24"/>
        </w:rPr>
        <w:t>go to</w:t>
      </w:r>
      <w:r w:rsidR="00CB4F43" w:rsidRPr="00BB205C">
        <w:rPr>
          <w:sz w:val="24"/>
          <w:szCs w:val="24"/>
        </w:rPr>
        <w:t xml:space="preserve"> the Medicare final inpatient rules by rate year</w:t>
      </w:r>
      <w:r w:rsidR="00CB4F43">
        <w:rPr>
          <w:sz w:val="24"/>
          <w:szCs w:val="24"/>
        </w:rPr>
        <w:t xml:space="preserve"> and select the appropriate year to find this file.</w:t>
      </w:r>
    </w:p>
    <w:p w14:paraId="0CC53C5F" w14:textId="77777777" w:rsidR="00B06099" w:rsidRPr="00FE1469" w:rsidRDefault="00B06099" w:rsidP="00FE1469">
      <w:pPr>
        <w:spacing w:after="0"/>
        <w:ind w:left="360"/>
        <w:rPr>
          <w:sz w:val="24"/>
          <w:szCs w:val="24"/>
        </w:rPr>
      </w:pPr>
    </w:p>
    <w:p w14:paraId="6A28F200" w14:textId="77777777" w:rsidR="00FE1469" w:rsidRPr="00FE1469" w:rsidRDefault="00FE1469" w:rsidP="00FE1469">
      <w:pPr>
        <w:spacing w:after="0"/>
        <w:ind w:left="360"/>
        <w:rPr>
          <w:sz w:val="24"/>
          <w:szCs w:val="24"/>
        </w:rPr>
      </w:pPr>
      <w:r w:rsidRPr="00FE1469">
        <w:rPr>
          <w:sz w:val="24"/>
          <w:szCs w:val="24"/>
        </w:rPr>
        <w:t xml:space="preserve">c. On the Excel tab labeled “Crosswalk,” find the county and state to determine if the facility county is located in a designated core based statistical area (CBSA). If the county is assigned to a CBSA record the CBSA number (it is 5 digits). This facility is an urban facility. If the field is blank, then it is a rural facility. </w:t>
      </w:r>
    </w:p>
    <w:p w14:paraId="3FD8E45C" w14:textId="77777777" w:rsidR="00FE1469" w:rsidRPr="00FE1469" w:rsidRDefault="00FE1469" w:rsidP="00FE1469">
      <w:pPr>
        <w:spacing w:after="0"/>
        <w:ind w:left="360"/>
        <w:rPr>
          <w:sz w:val="24"/>
          <w:szCs w:val="24"/>
        </w:rPr>
      </w:pPr>
    </w:p>
    <w:p w14:paraId="7EBD68A5" w14:textId="1806BFC3" w:rsidR="00FE1469" w:rsidRPr="00FE1469" w:rsidRDefault="00FE1469" w:rsidP="00FE1469">
      <w:pPr>
        <w:spacing w:after="0"/>
        <w:ind w:left="360"/>
        <w:rPr>
          <w:sz w:val="24"/>
          <w:szCs w:val="24"/>
        </w:rPr>
      </w:pPr>
      <w:r w:rsidRPr="00FE1469">
        <w:rPr>
          <w:sz w:val="24"/>
          <w:szCs w:val="24"/>
        </w:rPr>
        <w:t>d. Access file 8A which is located in the</w:t>
      </w:r>
      <w:r w:rsidR="00CB4F43">
        <w:rPr>
          <w:sz w:val="24"/>
          <w:szCs w:val="24"/>
        </w:rPr>
        <w:t xml:space="preserve"> </w:t>
      </w:r>
      <w:r w:rsidRPr="00FE1469">
        <w:rPr>
          <w:sz w:val="24"/>
          <w:szCs w:val="24"/>
        </w:rPr>
        <w:t>IPPS Final Rule Homepage</w:t>
      </w:r>
      <w:r w:rsidR="00CB4F43">
        <w:rPr>
          <w:sz w:val="24"/>
          <w:szCs w:val="24"/>
        </w:rPr>
        <w:t xml:space="preserve"> for the appropriate rate year.</w:t>
      </w:r>
      <w:r w:rsidRPr="00FE1469">
        <w:rPr>
          <w:sz w:val="24"/>
          <w:szCs w:val="24"/>
        </w:rPr>
        <w:t xml:space="preserve"> </w:t>
      </w:r>
      <w:r w:rsidR="00CB4F43" w:rsidRPr="00BB205C">
        <w:rPr>
          <w:sz w:val="24"/>
          <w:szCs w:val="24"/>
        </w:rPr>
        <w:t xml:space="preserve">Click </w:t>
      </w:r>
      <w:hyperlink r:id="rId27" w:history="1">
        <w:r w:rsidR="00CB4F43" w:rsidRPr="00BB205C">
          <w:rPr>
            <w:rStyle w:val="Hyperlink"/>
            <w:sz w:val="24"/>
            <w:szCs w:val="24"/>
          </w:rPr>
          <w:t>here</w:t>
        </w:r>
      </w:hyperlink>
      <w:r w:rsidR="00CB4F43" w:rsidRPr="00BB205C">
        <w:rPr>
          <w:sz w:val="24"/>
          <w:szCs w:val="24"/>
        </w:rPr>
        <w:t xml:space="preserve"> to </w:t>
      </w:r>
      <w:r w:rsidR="00CB4F43">
        <w:rPr>
          <w:sz w:val="24"/>
          <w:szCs w:val="24"/>
        </w:rPr>
        <w:t>go to</w:t>
      </w:r>
      <w:r w:rsidR="00CB4F43" w:rsidRPr="00BB205C">
        <w:rPr>
          <w:sz w:val="24"/>
          <w:szCs w:val="24"/>
        </w:rPr>
        <w:t xml:space="preserve"> the Medicare final inpatient rules by rate year</w:t>
      </w:r>
      <w:r w:rsidR="00CB4F43">
        <w:rPr>
          <w:sz w:val="24"/>
          <w:szCs w:val="24"/>
        </w:rPr>
        <w:t xml:space="preserve"> and select the appropriate year to find this file. </w:t>
      </w:r>
      <w:r w:rsidRPr="00FE1469">
        <w:rPr>
          <w:sz w:val="24"/>
          <w:szCs w:val="24"/>
        </w:rPr>
        <w:t xml:space="preserve">Choose the final rule and correction notice tables, and then choose the file Tables 8A, 8B and 8C. Open the excel file and use tab “8A OPER SWA”. </w:t>
      </w:r>
    </w:p>
    <w:p w14:paraId="7C1EB410" w14:textId="322029C2" w:rsidR="00BD46A3" w:rsidRDefault="00BD46A3" w:rsidP="00BD46A3">
      <w:pPr>
        <w:pStyle w:val="ListParagraph"/>
        <w:spacing w:after="0" w:line="276" w:lineRule="auto"/>
        <w:rPr>
          <w:sz w:val="24"/>
          <w:szCs w:val="24"/>
        </w:rPr>
      </w:pPr>
      <w:r>
        <w:rPr>
          <w:sz w:val="24"/>
          <w:szCs w:val="24"/>
        </w:rPr>
        <w:t xml:space="preserve">For BWC rate year </w:t>
      </w:r>
      <w:r w:rsidR="005D69CE">
        <w:rPr>
          <w:sz w:val="24"/>
          <w:szCs w:val="24"/>
        </w:rPr>
        <w:t>2021</w:t>
      </w:r>
      <w:r>
        <w:rPr>
          <w:sz w:val="24"/>
          <w:szCs w:val="24"/>
        </w:rPr>
        <w:t>, for Ohio hospitals, the statewide average CCRs are:</w:t>
      </w:r>
    </w:p>
    <w:p w14:paraId="40EEC1FB" w14:textId="16EECA93" w:rsidR="00BD46A3" w:rsidRDefault="00BD46A3" w:rsidP="00BD46A3">
      <w:pPr>
        <w:pStyle w:val="ListParagraph"/>
        <w:spacing w:after="0" w:line="276" w:lineRule="auto"/>
        <w:rPr>
          <w:sz w:val="24"/>
          <w:szCs w:val="24"/>
        </w:rPr>
      </w:pPr>
      <w:r>
        <w:rPr>
          <w:sz w:val="24"/>
          <w:szCs w:val="24"/>
        </w:rPr>
        <w:t>Urban: .</w:t>
      </w:r>
      <w:r w:rsidR="005D69CE">
        <w:rPr>
          <w:sz w:val="24"/>
          <w:szCs w:val="24"/>
        </w:rPr>
        <w:t>231</w:t>
      </w:r>
    </w:p>
    <w:p w14:paraId="22948317" w14:textId="61DE2DBC" w:rsidR="00BD46A3" w:rsidRDefault="00BD46A3" w:rsidP="00BD46A3">
      <w:pPr>
        <w:pStyle w:val="ListParagraph"/>
        <w:spacing w:after="0" w:line="276" w:lineRule="auto"/>
        <w:rPr>
          <w:sz w:val="24"/>
          <w:szCs w:val="24"/>
        </w:rPr>
      </w:pPr>
      <w:r>
        <w:rPr>
          <w:sz w:val="24"/>
          <w:szCs w:val="24"/>
        </w:rPr>
        <w:t>Rural .</w:t>
      </w:r>
      <w:r w:rsidR="005D69CE">
        <w:rPr>
          <w:sz w:val="24"/>
          <w:szCs w:val="24"/>
        </w:rPr>
        <w:t>344</w:t>
      </w:r>
    </w:p>
    <w:p w14:paraId="4B6999CB" w14:textId="77777777" w:rsidR="00BD46A3" w:rsidRDefault="00BD46A3" w:rsidP="00FE1469">
      <w:pPr>
        <w:spacing w:after="0"/>
        <w:ind w:left="360"/>
        <w:rPr>
          <w:sz w:val="24"/>
          <w:szCs w:val="24"/>
        </w:rPr>
      </w:pPr>
    </w:p>
    <w:p w14:paraId="4227B03D" w14:textId="356A55C8" w:rsidR="00FE1469" w:rsidRPr="00FE1469" w:rsidRDefault="00FE1469" w:rsidP="00FE1469">
      <w:pPr>
        <w:spacing w:after="0"/>
        <w:ind w:left="360"/>
        <w:rPr>
          <w:sz w:val="24"/>
          <w:szCs w:val="24"/>
        </w:rPr>
      </w:pPr>
      <w:r w:rsidRPr="00FE1469">
        <w:rPr>
          <w:sz w:val="24"/>
          <w:szCs w:val="24"/>
        </w:rPr>
        <w:t xml:space="preserve">e. Locate the state and urban or rural value based on the urban/rural determination made during the wage index CBSA assignment process (step c above). </w:t>
      </w:r>
    </w:p>
    <w:p w14:paraId="07A0FE56" w14:textId="77777777" w:rsidR="00FE1469" w:rsidRPr="00FE1469" w:rsidRDefault="00FE1469" w:rsidP="00FE1469">
      <w:pPr>
        <w:spacing w:after="0"/>
        <w:ind w:left="360"/>
        <w:rPr>
          <w:sz w:val="24"/>
          <w:szCs w:val="24"/>
        </w:rPr>
      </w:pPr>
    </w:p>
    <w:p w14:paraId="4649EB7B" w14:textId="5091E9CC" w:rsidR="00FE1469" w:rsidRPr="00FE1469" w:rsidRDefault="00FE1469" w:rsidP="00FE1469">
      <w:pPr>
        <w:spacing w:after="0"/>
        <w:ind w:left="360"/>
        <w:rPr>
          <w:sz w:val="24"/>
          <w:szCs w:val="24"/>
        </w:rPr>
      </w:pPr>
      <w:r w:rsidRPr="00FE1469">
        <w:rPr>
          <w:sz w:val="24"/>
          <w:szCs w:val="24"/>
        </w:rPr>
        <w:t xml:space="preserve">f. </w:t>
      </w:r>
      <w:r w:rsidR="00CB4F43">
        <w:rPr>
          <w:sz w:val="24"/>
          <w:szCs w:val="24"/>
        </w:rPr>
        <w:t>M</w:t>
      </w:r>
      <w:r w:rsidRPr="00FE1469">
        <w:rPr>
          <w:sz w:val="24"/>
          <w:szCs w:val="24"/>
        </w:rPr>
        <w:t xml:space="preserve">ultiply this Medicare CCR by 1.14 (i.e. 114% of cost). Please note, the final CCR used in this calculation should be capped at .70. </w:t>
      </w:r>
    </w:p>
    <w:p w14:paraId="1CDB970A" w14:textId="77777777" w:rsidR="00FE1469" w:rsidRPr="00FE1469" w:rsidRDefault="00FE1469" w:rsidP="00FE1469">
      <w:pPr>
        <w:spacing w:after="0"/>
        <w:ind w:left="360"/>
        <w:rPr>
          <w:sz w:val="24"/>
          <w:szCs w:val="24"/>
        </w:rPr>
      </w:pPr>
    </w:p>
    <w:p w14:paraId="4A263768" w14:textId="2F3E2DCE" w:rsidR="00FE1469" w:rsidRPr="000F27F9" w:rsidRDefault="00FE1469" w:rsidP="00FE1469">
      <w:pPr>
        <w:spacing w:after="0"/>
        <w:ind w:left="360"/>
        <w:rPr>
          <w:sz w:val="24"/>
          <w:szCs w:val="24"/>
        </w:rPr>
      </w:pPr>
      <w:r w:rsidRPr="00FE1469">
        <w:rPr>
          <w:sz w:val="24"/>
          <w:szCs w:val="24"/>
        </w:rPr>
        <w:t>g. The final CCR from step f above is then multiplied by the allowed billed charges to calculate the appropriate reimbursement rate.</w:t>
      </w:r>
    </w:p>
    <w:p w14:paraId="51A03D6B" w14:textId="13DE72B6" w:rsidR="000F27F9" w:rsidRDefault="000F27F9" w:rsidP="000F27F9">
      <w:pPr>
        <w:pStyle w:val="ListParagraph"/>
        <w:spacing w:after="0" w:line="276" w:lineRule="auto"/>
        <w:ind w:left="0"/>
        <w:rPr>
          <w:sz w:val="24"/>
          <w:szCs w:val="24"/>
        </w:rPr>
      </w:pPr>
    </w:p>
    <w:p w14:paraId="0B610EB6" w14:textId="77777777" w:rsidR="005D57AE" w:rsidRPr="004D6C24" w:rsidRDefault="002754DB" w:rsidP="00A11040">
      <w:pPr>
        <w:pStyle w:val="ListParagraph"/>
        <w:numPr>
          <w:ilvl w:val="0"/>
          <w:numId w:val="11"/>
        </w:numPr>
        <w:spacing w:after="0"/>
        <w:rPr>
          <w:b/>
          <w:sz w:val="24"/>
          <w:szCs w:val="24"/>
        </w:rPr>
      </w:pPr>
      <w:r w:rsidRPr="004D6C24">
        <w:rPr>
          <w:b/>
          <w:sz w:val="24"/>
          <w:szCs w:val="24"/>
        </w:rPr>
        <w:t xml:space="preserve">Application of </w:t>
      </w:r>
      <w:r w:rsidR="00956405" w:rsidRPr="004D6C24">
        <w:rPr>
          <w:b/>
          <w:sz w:val="24"/>
          <w:szCs w:val="24"/>
        </w:rPr>
        <w:t>Payment Adjustment Factor</w:t>
      </w:r>
      <w:r w:rsidRPr="004D6C24">
        <w:rPr>
          <w:b/>
          <w:sz w:val="24"/>
          <w:szCs w:val="24"/>
        </w:rPr>
        <w:t xml:space="preserve"> (PAF)</w:t>
      </w:r>
    </w:p>
    <w:p w14:paraId="257E119E" w14:textId="08C3129A" w:rsidR="000F27F9" w:rsidRDefault="00137AEB" w:rsidP="004D6C24">
      <w:pPr>
        <w:spacing w:after="0" w:line="240" w:lineRule="auto"/>
        <w:ind w:left="360"/>
        <w:rPr>
          <w:sz w:val="24"/>
          <w:szCs w:val="24"/>
        </w:rPr>
      </w:pPr>
      <w:r>
        <w:rPr>
          <w:sz w:val="24"/>
          <w:szCs w:val="24"/>
        </w:rPr>
        <w:t xml:space="preserve">As previously described in the DRG formula, </w:t>
      </w:r>
      <w:r w:rsidR="008400E6" w:rsidRPr="008400E6">
        <w:rPr>
          <w:sz w:val="24"/>
          <w:szCs w:val="24"/>
        </w:rPr>
        <w:t xml:space="preserve">BWC applies a payment adjustment factor (PAF) to inflate the Medicare DRG rate. </w:t>
      </w:r>
      <w:r w:rsidR="00A24316">
        <w:rPr>
          <w:sz w:val="24"/>
          <w:szCs w:val="24"/>
        </w:rPr>
        <w:t xml:space="preserve">The PAF is applied to the Medicare base </w:t>
      </w:r>
      <w:r>
        <w:rPr>
          <w:sz w:val="24"/>
          <w:szCs w:val="24"/>
        </w:rPr>
        <w:t xml:space="preserve">payment </w:t>
      </w:r>
      <w:r w:rsidR="00A24316">
        <w:rPr>
          <w:sz w:val="24"/>
          <w:szCs w:val="24"/>
        </w:rPr>
        <w:t>rate</w:t>
      </w:r>
      <w:r w:rsidR="006C4103">
        <w:rPr>
          <w:sz w:val="24"/>
          <w:szCs w:val="24"/>
        </w:rPr>
        <w:t xml:space="preserve">. </w:t>
      </w:r>
      <w:r w:rsidR="005D3A70">
        <w:rPr>
          <w:sz w:val="24"/>
          <w:szCs w:val="24"/>
        </w:rPr>
        <w:t xml:space="preserve">The PAF </w:t>
      </w:r>
      <w:r w:rsidR="006C4103">
        <w:rPr>
          <w:sz w:val="24"/>
          <w:szCs w:val="24"/>
        </w:rPr>
        <w:t xml:space="preserve"> is not applied </w:t>
      </w:r>
      <w:r w:rsidR="00A24316">
        <w:rPr>
          <w:sz w:val="24"/>
          <w:szCs w:val="24"/>
        </w:rPr>
        <w:t>to any outlier add</w:t>
      </w:r>
      <w:r w:rsidR="006C4103">
        <w:rPr>
          <w:sz w:val="24"/>
          <w:szCs w:val="24"/>
        </w:rPr>
        <w:t>-</w:t>
      </w:r>
      <w:r w:rsidR="00A24316">
        <w:rPr>
          <w:sz w:val="24"/>
          <w:szCs w:val="24"/>
        </w:rPr>
        <w:t xml:space="preserve">on </w:t>
      </w:r>
      <w:r w:rsidR="006C4103">
        <w:rPr>
          <w:sz w:val="24"/>
          <w:szCs w:val="24"/>
        </w:rPr>
        <w:t>payment</w:t>
      </w:r>
      <w:r w:rsidR="00A24316">
        <w:rPr>
          <w:sz w:val="24"/>
          <w:szCs w:val="24"/>
        </w:rPr>
        <w:t xml:space="preserve"> </w:t>
      </w:r>
      <w:r w:rsidR="005D3A70">
        <w:rPr>
          <w:sz w:val="24"/>
          <w:szCs w:val="24"/>
        </w:rPr>
        <w:t>n</w:t>
      </w:r>
      <w:r w:rsidR="00A24316">
        <w:rPr>
          <w:sz w:val="24"/>
          <w:szCs w:val="24"/>
        </w:rPr>
        <w:t>or to the new technology add</w:t>
      </w:r>
      <w:r w:rsidR="006C4103">
        <w:rPr>
          <w:sz w:val="24"/>
          <w:szCs w:val="24"/>
        </w:rPr>
        <w:t>-</w:t>
      </w:r>
      <w:r w:rsidR="00A24316">
        <w:rPr>
          <w:sz w:val="24"/>
          <w:szCs w:val="24"/>
        </w:rPr>
        <w:t xml:space="preserve">on payment. </w:t>
      </w:r>
      <w:r w:rsidR="002554C8">
        <w:rPr>
          <w:sz w:val="24"/>
          <w:szCs w:val="24"/>
        </w:rPr>
        <w:t xml:space="preserve">For rate year </w:t>
      </w:r>
      <w:r>
        <w:rPr>
          <w:sz w:val="24"/>
          <w:szCs w:val="24"/>
        </w:rPr>
        <w:t>2021</w:t>
      </w:r>
      <w:r w:rsidR="002554C8">
        <w:rPr>
          <w:sz w:val="24"/>
          <w:szCs w:val="24"/>
        </w:rPr>
        <w:t xml:space="preserve">, the PAF is 1.127. </w:t>
      </w:r>
    </w:p>
    <w:p w14:paraId="7076A865" w14:textId="77777777" w:rsidR="000F27F9" w:rsidRDefault="00DA6DD1" w:rsidP="00A11040">
      <w:pPr>
        <w:pStyle w:val="ListParagraph"/>
        <w:numPr>
          <w:ilvl w:val="1"/>
          <w:numId w:val="1"/>
        </w:numPr>
        <w:spacing w:after="0" w:line="240" w:lineRule="auto"/>
        <w:rPr>
          <w:sz w:val="24"/>
          <w:szCs w:val="24"/>
        </w:rPr>
      </w:pPr>
      <w:r>
        <w:rPr>
          <w:sz w:val="24"/>
          <w:szCs w:val="24"/>
        </w:rPr>
        <w:t>A</w:t>
      </w:r>
      <w:r w:rsidR="000F27F9">
        <w:rPr>
          <w:sz w:val="24"/>
          <w:szCs w:val="24"/>
        </w:rPr>
        <w:t>pplication of PAF</w:t>
      </w:r>
      <w:r>
        <w:rPr>
          <w:sz w:val="24"/>
          <w:szCs w:val="24"/>
        </w:rPr>
        <w:t xml:space="preserve"> to </w:t>
      </w:r>
      <w:r w:rsidR="0023529B" w:rsidRPr="008942DC">
        <w:rPr>
          <w:sz w:val="24"/>
          <w:szCs w:val="24"/>
          <w:u w:val="single"/>
        </w:rPr>
        <w:t>Non-Outlier</w:t>
      </w:r>
      <w:r>
        <w:rPr>
          <w:sz w:val="24"/>
          <w:szCs w:val="24"/>
        </w:rPr>
        <w:t xml:space="preserve"> Bills</w:t>
      </w:r>
    </w:p>
    <w:p w14:paraId="26E9AFE9" w14:textId="31CA0093" w:rsidR="005D3A70" w:rsidRDefault="005D3A70" w:rsidP="005D3A70">
      <w:pPr>
        <w:pStyle w:val="ListParagraph"/>
        <w:spacing w:after="0" w:line="240" w:lineRule="auto"/>
        <w:ind w:left="1080"/>
        <w:rPr>
          <w:b/>
          <w:i/>
          <w:color w:val="4472C4" w:themeColor="accent1"/>
          <w:sz w:val="24"/>
          <w:szCs w:val="24"/>
        </w:rPr>
      </w:pPr>
      <w:r w:rsidRPr="005D3A70">
        <w:rPr>
          <w:b/>
          <w:i/>
          <w:color w:val="4472C4" w:themeColor="accent1"/>
          <w:sz w:val="24"/>
          <w:szCs w:val="24"/>
        </w:rPr>
        <w:t>MS-DRG reimbursement rate x 1.127 + new technology add-on payment (if applicable) = bureau reimbursement for hospital inpatient service</w:t>
      </w:r>
    </w:p>
    <w:p w14:paraId="2D84C25F" w14:textId="77777777" w:rsidR="005D3A70" w:rsidRPr="008942DC" w:rsidRDefault="005D3A70" w:rsidP="008942DC">
      <w:pPr>
        <w:pStyle w:val="ListParagraph"/>
        <w:spacing w:after="0" w:line="240" w:lineRule="auto"/>
        <w:ind w:left="1080"/>
        <w:rPr>
          <w:sz w:val="24"/>
          <w:szCs w:val="24"/>
        </w:rPr>
      </w:pPr>
    </w:p>
    <w:p w14:paraId="6126BF0B" w14:textId="5C45B369" w:rsidR="000F27F9" w:rsidRPr="000F27F9" w:rsidRDefault="00DA6DD1" w:rsidP="00A11040">
      <w:pPr>
        <w:pStyle w:val="ListParagraph"/>
        <w:numPr>
          <w:ilvl w:val="1"/>
          <w:numId w:val="1"/>
        </w:numPr>
        <w:spacing w:after="0" w:line="240" w:lineRule="auto"/>
        <w:rPr>
          <w:sz w:val="24"/>
          <w:szCs w:val="24"/>
        </w:rPr>
      </w:pPr>
      <w:r>
        <w:rPr>
          <w:sz w:val="24"/>
          <w:szCs w:val="24"/>
        </w:rPr>
        <w:t>A</w:t>
      </w:r>
      <w:r w:rsidR="000F27F9">
        <w:rPr>
          <w:sz w:val="24"/>
          <w:szCs w:val="24"/>
        </w:rPr>
        <w:t>pplication of PAF</w:t>
      </w:r>
      <w:r>
        <w:rPr>
          <w:sz w:val="24"/>
          <w:szCs w:val="24"/>
        </w:rPr>
        <w:t xml:space="preserve"> to </w:t>
      </w:r>
      <w:r w:rsidRPr="008942DC">
        <w:rPr>
          <w:sz w:val="24"/>
          <w:szCs w:val="24"/>
          <w:u w:val="single"/>
        </w:rPr>
        <w:t>Outlier Bills</w:t>
      </w:r>
    </w:p>
    <w:p w14:paraId="267BE8C2" w14:textId="77777777" w:rsidR="000F27F9" w:rsidRPr="000F27F9" w:rsidRDefault="000F27F9" w:rsidP="00321DC1">
      <w:pPr>
        <w:pStyle w:val="ListParagraph"/>
        <w:spacing w:after="0"/>
        <w:ind w:left="1080"/>
        <w:rPr>
          <w:b/>
          <w:i/>
          <w:color w:val="4472C4" w:themeColor="accent1"/>
          <w:sz w:val="24"/>
          <w:szCs w:val="24"/>
        </w:rPr>
      </w:pPr>
      <w:r w:rsidRPr="000F27F9">
        <w:rPr>
          <w:b/>
          <w:i/>
          <w:color w:val="4472C4" w:themeColor="accent1"/>
          <w:sz w:val="24"/>
          <w:szCs w:val="24"/>
        </w:rPr>
        <w:t>BWC MS-DRG outlier reimbursement rate = (MS-DRG reimbursement rate x 1.127) + Medicare operating outlier amount + Medicare capital operating outlier amount + new technology add-on payment (if applicable)</w:t>
      </w:r>
    </w:p>
    <w:p w14:paraId="7A9D1332" w14:textId="77777777" w:rsidR="00321DC1" w:rsidRDefault="00321DC1" w:rsidP="00321DC1">
      <w:pPr>
        <w:spacing w:after="0" w:line="276" w:lineRule="auto"/>
        <w:ind w:left="360"/>
        <w:rPr>
          <w:sz w:val="24"/>
          <w:szCs w:val="24"/>
        </w:rPr>
      </w:pPr>
    </w:p>
    <w:p w14:paraId="76F65242" w14:textId="77777777" w:rsidR="00A24316" w:rsidRPr="004D6C24" w:rsidRDefault="00F853E6" w:rsidP="00A11040">
      <w:pPr>
        <w:pStyle w:val="ListParagraph"/>
        <w:numPr>
          <w:ilvl w:val="0"/>
          <w:numId w:val="11"/>
        </w:numPr>
        <w:spacing w:after="0"/>
        <w:rPr>
          <w:b/>
          <w:sz w:val="24"/>
          <w:szCs w:val="24"/>
        </w:rPr>
      </w:pPr>
      <w:r w:rsidRPr="004D6C24">
        <w:rPr>
          <w:b/>
          <w:sz w:val="24"/>
          <w:szCs w:val="24"/>
        </w:rPr>
        <w:t xml:space="preserve">Application of </w:t>
      </w:r>
      <w:r w:rsidR="00A24316" w:rsidRPr="004D6C24">
        <w:rPr>
          <w:b/>
          <w:sz w:val="24"/>
          <w:szCs w:val="24"/>
        </w:rPr>
        <w:t>Direct Graduate Medical Education</w:t>
      </w:r>
      <w:r w:rsidRPr="004D6C24">
        <w:rPr>
          <w:b/>
          <w:sz w:val="24"/>
          <w:szCs w:val="24"/>
        </w:rPr>
        <w:t xml:space="preserve"> Per Diem Payment</w:t>
      </w:r>
    </w:p>
    <w:p w14:paraId="62BE99CC" w14:textId="13FF026A" w:rsidR="004737FD" w:rsidRPr="00A24316" w:rsidRDefault="007C1ED6" w:rsidP="00CC5D5D">
      <w:pPr>
        <w:spacing w:after="0"/>
        <w:ind w:left="360"/>
        <w:rPr>
          <w:rFonts w:cstheme="minorHAnsi"/>
        </w:rPr>
      </w:pPr>
      <w:r>
        <w:rPr>
          <w:sz w:val="24"/>
          <w:szCs w:val="24"/>
        </w:rPr>
        <w:t xml:space="preserve">In addition to the indirect graduate medical education payment calculated by the pricer software, </w:t>
      </w:r>
      <w:r w:rsidR="00A24316" w:rsidRPr="00A24316">
        <w:rPr>
          <w:sz w:val="24"/>
          <w:szCs w:val="24"/>
        </w:rPr>
        <w:t>BWC</w:t>
      </w:r>
      <w:r w:rsidR="00A24316">
        <w:rPr>
          <w:sz w:val="24"/>
          <w:szCs w:val="24"/>
        </w:rPr>
        <w:t xml:space="preserve"> reimburses eligible teaching hospitals a direct graduate medical education</w:t>
      </w:r>
      <w:r w:rsidR="008400E6">
        <w:rPr>
          <w:sz w:val="24"/>
          <w:szCs w:val="24"/>
        </w:rPr>
        <w:t xml:space="preserve"> (DGME)</w:t>
      </w:r>
      <w:r w:rsidR="00A24316">
        <w:rPr>
          <w:sz w:val="24"/>
          <w:szCs w:val="24"/>
        </w:rPr>
        <w:t xml:space="preserve"> add</w:t>
      </w:r>
      <w:r w:rsidR="004201CE">
        <w:rPr>
          <w:sz w:val="24"/>
          <w:szCs w:val="24"/>
        </w:rPr>
        <w:t>-</w:t>
      </w:r>
      <w:r w:rsidR="00A24316">
        <w:rPr>
          <w:sz w:val="24"/>
          <w:szCs w:val="24"/>
        </w:rPr>
        <w:t xml:space="preserve">on per diem payment for non-outlier cases reimbursed under this methodology. </w:t>
      </w:r>
      <w:r w:rsidR="008400E6" w:rsidRPr="008400E6">
        <w:rPr>
          <w:rFonts w:cstheme="minorHAnsi"/>
          <w:sz w:val="24"/>
          <w:szCs w:val="24"/>
        </w:rPr>
        <w:t>Bills that hit the Medicare high cost outlier threshold are not paid the DGME per diem.</w:t>
      </w:r>
      <w:r w:rsidR="008400E6">
        <w:rPr>
          <w:rFonts w:cstheme="minorHAnsi"/>
          <w:sz w:val="24"/>
          <w:szCs w:val="24"/>
        </w:rPr>
        <w:t xml:space="preserve"> </w:t>
      </w:r>
      <w:r w:rsidR="008400E6" w:rsidRPr="008400E6">
        <w:rPr>
          <w:rFonts w:cstheme="minorHAnsi"/>
          <w:sz w:val="24"/>
          <w:szCs w:val="24"/>
        </w:rPr>
        <w:t xml:space="preserve">This payment covers costs for </w:t>
      </w:r>
      <w:r w:rsidR="008400E6">
        <w:rPr>
          <w:rFonts w:cstheme="minorHAnsi"/>
          <w:sz w:val="24"/>
          <w:szCs w:val="24"/>
        </w:rPr>
        <w:t xml:space="preserve">eligible </w:t>
      </w:r>
      <w:r w:rsidR="008400E6" w:rsidRPr="008400E6">
        <w:rPr>
          <w:rFonts w:cstheme="minorHAnsi"/>
          <w:sz w:val="24"/>
          <w:szCs w:val="24"/>
        </w:rPr>
        <w:t xml:space="preserve">teaching hospitals training of resident physicians. </w:t>
      </w:r>
      <w:hyperlink r:id="rId28" w:history="1">
        <w:r w:rsidR="00A24316" w:rsidRPr="00A24316">
          <w:rPr>
            <w:rStyle w:val="Hyperlink"/>
            <w:rFonts w:cstheme="minorHAnsi"/>
            <w:sz w:val="24"/>
            <w:szCs w:val="24"/>
          </w:rPr>
          <w:t>OAC 4123-6-37.1</w:t>
        </w:r>
      </w:hyperlink>
      <w:r w:rsidR="00A24316" w:rsidRPr="00A24316">
        <w:rPr>
          <w:rStyle w:val="Hyperlink"/>
          <w:rFonts w:cstheme="minorHAnsi"/>
          <w:sz w:val="24"/>
          <w:szCs w:val="24"/>
          <w:u w:val="none"/>
        </w:rPr>
        <w:t xml:space="preserve"> </w:t>
      </w:r>
      <w:r w:rsidR="00A24316">
        <w:rPr>
          <w:rStyle w:val="Hyperlink"/>
          <w:rFonts w:cstheme="minorHAnsi"/>
          <w:color w:val="auto"/>
          <w:sz w:val="24"/>
          <w:szCs w:val="24"/>
          <w:u w:val="none"/>
        </w:rPr>
        <w:t xml:space="preserve">details the formula used to determine the per diem payment. </w:t>
      </w:r>
      <w:hyperlink r:id="rId29" w:history="1">
        <w:r w:rsidR="008F23BB">
          <w:rPr>
            <w:rStyle w:val="Hyperlink"/>
            <w:rFonts w:cstheme="minorHAnsi"/>
            <w:sz w:val="24"/>
            <w:szCs w:val="24"/>
          </w:rPr>
          <w:t>BWC's inpatient fee schedule</w:t>
        </w:r>
      </w:hyperlink>
      <w:r w:rsidR="008F23BB">
        <w:rPr>
          <w:rFonts w:cstheme="minorHAnsi"/>
          <w:sz w:val="24"/>
          <w:szCs w:val="24"/>
        </w:rPr>
        <w:t xml:space="preserve"> </w:t>
      </w:r>
      <w:r w:rsidR="008400E6">
        <w:rPr>
          <w:rFonts w:cstheme="minorHAnsi"/>
          <w:sz w:val="24"/>
          <w:szCs w:val="24"/>
        </w:rPr>
        <w:t xml:space="preserve">includes a document with the DGME per diem reimbursement rate for all eligible hospitals.  </w:t>
      </w:r>
    </w:p>
    <w:p w14:paraId="451F0FA2" w14:textId="6430DFE8" w:rsidR="004D6C24" w:rsidRPr="00321DC1" w:rsidRDefault="004D6C24" w:rsidP="00A11040">
      <w:pPr>
        <w:pStyle w:val="ListParagraph"/>
        <w:numPr>
          <w:ilvl w:val="0"/>
          <w:numId w:val="16"/>
        </w:numPr>
        <w:spacing w:after="0"/>
        <w:rPr>
          <w:sz w:val="24"/>
          <w:szCs w:val="24"/>
        </w:rPr>
      </w:pPr>
      <w:r w:rsidRPr="00321DC1">
        <w:rPr>
          <w:sz w:val="24"/>
          <w:szCs w:val="24"/>
        </w:rPr>
        <w:t xml:space="preserve">The DGME per diem amounts are calculated using the </w:t>
      </w:r>
      <w:r w:rsidRPr="00321DC1">
        <w:rPr>
          <w:rFonts w:cs="Arial"/>
          <w:sz w:val="24"/>
          <w:szCs w:val="24"/>
          <w:lang w:val="en"/>
        </w:rPr>
        <w:t>Healthcare Cost Report Information System (</w:t>
      </w:r>
      <w:r w:rsidRPr="00321DC1">
        <w:rPr>
          <w:sz w:val="24"/>
          <w:szCs w:val="24"/>
        </w:rPr>
        <w:t>HCRIS) files (CMS-2552-10).</w:t>
      </w:r>
      <w:r w:rsidR="000F27F9" w:rsidRPr="00321DC1">
        <w:rPr>
          <w:sz w:val="24"/>
          <w:szCs w:val="24"/>
        </w:rPr>
        <w:t xml:space="preserve"> </w:t>
      </w:r>
      <w:r w:rsidRPr="00321DC1">
        <w:rPr>
          <w:sz w:val="24"/>
          <w:szCs w:val="24"/>
        </w:rPr>
        <w:t xml:space="preserve">As noted </w:t>
      </w:r>
      <w:r w:rsidR="003812B0">
        <w:rPr>
          <w:sz w:val="24"/>
          <w:szCs w:val="24"/>
        </w:rPr>
        <w:t xml:space="preserve">in </w:t>
      </w:r>
      <w:r w:rsidR="00CC5D5D">
        <w:rPr>
          <w:sz w:val="24"/>
          <w:szCs w:val="24"/>
        </w:rPr>
        <w:t>the rule</w:t>
      </w:r>
      <w:r w:rsidRPr="00321DC1">
        <w:rPr>
          <w:sz w:val="24"/>
          <w:szCs w:val="24"/>
        </w:rPr>
        <w:t>, DGME is defined as:</w:t>
      </w:r>
    </w:p>
    <w:p w14:paraId="53A7A29A" w14:textId="77777777" w:rsidR="004D6C24" w:rsidRPr="00CC5D5D" w:rsidRDefault="004D6C24" w:rsidP="00321DC1">
      <w:pPr>
        <w:pStyle w:val="ListParagraph"/>
        <w:rPr>
          <w:i/>
          <w:sz w:val="24"/>
          <w:szCs w:val="24"/>
        </w:rPr>
      </w:pPr>
      <w:r w:rsidRPr="00CC5D5D">
        <w:rPr>
          <w:b/>
          <w:i/>
          <w:color w:val="4472C4" w:themeColor="accent1"/>
          <w:sz w:val="24"/>
          <w:szCs w:val="24"/>
        </w:rPr>
        <w:t>(Total approved amount for resident cost + total approved amount for allied health cost)/total inpatient days</w:t>
      </w:r>
      <w:r w:rsidR="00321DC1" w:rsidRPr="00CC5D5D">
        <w:rPr>
          <w:b/>
          <w:i/>
          <w:color w:val="4472C4" w:themeColor="accent1"/>
          <w:sz w:val="24"/>
          <w:szCs w:val="24"/>
        </w:rPr>
        <w:t>] = direct graduate medical education per diem</w:t>
      </w:r>
    </w:p>
    <w:p w14:paraId="6115C53C" w14:textId="77777777" w:rsidR="004D6C24" w:rsidRPr="00321DC1" w:rsidRDefault="004D6C24" w:rsidP="00A11040">
      <w:pPr>
        <w:pStyle w:val="ListParagraph"/>
        <w:numPr>
          <w:ilvl w:val="0"/>
          <w:numId w:val="16"/>
        </w:numPr>
        <w:rPr>
          <w:sz w:val="24"/>
          <w:szCs w:val="24"/>
        </w:rPr>
      </w:pPr>
      <w:r w:rsidRPr="00321DC1">
        <w:rPr>
          <w:sz w:val="24"/>
          <w:szCs w:val="24"/>
        </w:rPr>
        <w:t>BWC pulls the latest three years’ HCRIS files to obtain the above data elements and calculates the per diem rate for each hospital for each year. Three years of cost data are initially pulled since some hospitals may not have finalized cost reports for the latest year</w:t>
      </w:r>
      <w:r w:rsidR="00CC5D5D">
        <w:rPr>
          <w:sz w:val="24"/>
          <w:szCs w:val="24"/>
        </w:rPr>
        <w:t>.</w:t>
      </w:r>
    </w:p>
    <w:p w14:paraId="1B3C8017" w14:textId="420AA29E" w:rsidR="004D6C24" w:rsidRPr="00321DC1" w:rsidRDefault="004D6C24" w:rsidP="00A11040">
      <w:pPr>
        <w:pStyle w:val="ListParagraph"/>
        <w:numPr>
          <w:ilvl w:val="0"/>
          <w:numId w:val="16"/>
        </w:numPr>
        <w:rPr>
          <w:sz w:val="24"/>
          <w:szCs w:val="24"/>
        </w:rPr>
      </w:pPr>
      <w:r w:rsidRPr="00321DC1">
        <w:rPr>
          <w:sz w:val="24"/>
          <w:szCs w:val="24"/>
        </w:rPr>
        <w:t xml:space="preserve">The latest year’s per diem rate for each hospital is used as the final DGME rate.  </w:t>
      </w:r>
    </w:p>
    <w:p w14:paraId="7B0ABE68" w14:textId="77777777" w:rsidR="004D6C24" w:rsidRDefault="004D6C24" w:rsidP="00A11040">
      <w:pPr>
        <w:pStyle w:val="ListParagraph"/>
        <w:numPr>
          <w:ilvl w:val="0"/>
          <w:numId w:val="16"/>
        </w:numPr>
        <w:spacing w:line="276" w:lineRule="auto"/>
        <w:rPr>
          <w:sz w:val="24"/>
          <w:szCs w:val="24"/>
        </w:rPr>
      </w:pPr>
      <w:r w:rsidRPr="00CC1785">
        <w:rPr>
          <w:sz w:val="24"/>
          <w:szCs w:val="24"/>
        </w:rPr>
        <w:t>A payment adjustment factor of 1.127 is applied to the DGME per diem amount.</w:t>
      </w:r>
    </w:p>
    <w:p w14:paraId="663783A1" w14:textId="77777777" w:rsidR="00CC5D5D" w:rsidRDefault="00CC5D5D" w:rsidP="00A11040">
      <w:pPr>
        <w:pStyle w:val="ListParagraph"/>
        <w:numPr>
          <w:ilvl w:val="0"/>
          <w:numId w:val="16"/>
        </w:numPr>
        <w:spacing w:after="0" w:line="276" w:lineRule="auto"/>
        <w:rPr>
          <w:sz w:val="24"/>
          <w:szCs w:val="24"/>
        </w:rPr>
      </w:pPr>
      <w:r>
        <w:rPr>
          <w:sz w:val="24"/>
          <w:szCs w:val="24"/>
        </w:rPr>
        <w:t>Formula</w:t>
      </w:r>
    </w:p>
    <w:p w14:paraId="7AC1AE65" w14:textId="1F8BED0D" w:rsidR="00CC5D5D" w:rsidRDefault="00CC5D5D" w:rsidP="00CC5D5D">
      <w:pPr>
        <w:spacing w:after="0" w:line="276" w:lineRule="auto"/>
        <w:ind w:left="360" w:firstLine="360"/>
        <w:rPr>
          <w:b/>
          <w:i/>
          <w:color w:val="4472C4" w:themeColor="accent1"/>
          <w:sz w:val="24"/>
          <w:szCs w:val="24"/>
        </w:rPr>
      </w:pPr>
      <w:r>
        <w:rPr>
          <w:b/>
          <w:i/>
          <w:color w:val="4472C4" w:themeColor="accent1"/>
          <w:sz w:val="24"/>
          <w:szCs w:val="24"/>
        </w:rPr>
        <w:t xml:space="preserve">DGME payment = </w:t>
      </w:r>
      <w:r w:rsidRPr="00CC5D5D">
        <w:rPr>
          <w:b/>
          <w:i/>
          <w:color w:val="4472C4" w:themeColor="accent1"/>
          <w:sz w:val="24"/>
          <w:szCs w:val="24"/>
        </w:rPr>
        <w:t>DGME per diem rate x number of inpatient days x 1.127</w:t>
      </w:r>
    </w:p>
    <w:p w14:paraId="0F8C2698" w14:textId="4A2DEC79" w:rsidR="00F5410C" w:rsidRPr="00F5410C" w:rsidRDefault="00F5410C" w:rsidP="00F5410C">
      <w:pPr>
        <w:spacing w:after="0" w:line="276" w:lineRule="auto"/>
        <w:ind w:left="720"/>
        <w:rPr>
          <w:bCs/>
          <w:iCs/>
          <w:sz w:val="24"/>
          <w:szCs w:val="24"/>
        </w:rPr>
      </w:pPr>
      <w:r w:rsidRPr="00F5410C">
        <w:rPr>
          <w:bCs/>
          <w:iCs/>
          <w:sz w:val="24"/>
          <w:szCs w:val="24"/>
        </w:rPr>
        <w:t>Example: An injured worker was admitted to Hospital A for 3 days. Hospital A’s DGME rate is $100 per day. The payment would be calculated as follows:</w:t>
      </w:r>
    </w:p>
    <w:p w14:paraId="5ED5CB6D" w14:textId="31C036AE" w:rsidR="00F5410C" w:rsidRPr="005B2624" w:rsidRDefault="00F5410C" w:rsidP="00CC5D5D">
      <w:pPr>
        <w:spacing w:after="0" w:line="276" w:lineRule="auto"/>
        <w:ind w:left="360" w:firstLine="360"/>
        <w:rPr>
          <w:bCs/>
          <w:iCs/>
          <w:sz w:val="24"/>
          <w:szCs w:val="24"/>
        </w:rPr>
      </w:pPr>
      <w:r w:rsidRPr="005B2624">
        <w:rPr>
          <w:bCs/>
          <w:iCs/>
          <w:sz w:val="24"/>
          <w:szCs w:val="24"/>
        </w:rPr>
        <w:t>$100 x 3 days x 1.127 = $338.10</w:t>
      </w:r>
    </w:p>
    <w:p w14:paraId="470FA906" w14:textId="77777777" w:rsidR="008B5C0F" w:rsidRDefault="008B5C0F"/>
    <w:p w14:paraId="3ED42DA3" w14:textId="374AAA99" w:rsidR="008B5C0F" w:rsidRDefault="00117858" w:rsidP="008B5C0F">
      <w:pPr>
        <w:pStyle w:val="ListParagraph"/>
        <w:numPr>
          <w:ilvl w:val="0"/>
          <w:numId w:val="11"/>
        </w:numPr>
        <w:spacing w:after="0"/>
        <w:rPr>
          <w:b/>
          <w:sz w:val="24"/>
          <w:szCs w:val="24"/>
        </w:rPr>
      </w:pPr>
      <w:r>
        <w:rPr>
          <w:b/>
          <w:sz w:val="24"/>
          <w:szCs w:val="24"/>
        </w:rPr>
        <w:t xml:space="preserve">BWC Does Not Follow </w:t>
      </w:r>
      <w:r w:rsidR="006E2DBC">
        <w:rPr>
          <w:b/>
          <w:sz w:val="24"/>
          <w:szCs w:val="24"/>
        </w:rPr>
        <w:t>Medicare’s 2- Midnight Rule</w:t>
      </w:r>
    </w:p>
    <w:p w14:paraId="734C6302" w14:textId="4B66FF2D" w:rsidR="00DA6DD1" w:rsidRDefault="006E2DBC" w:rsidP="006E2DBC">
      <w:pPr>
        <w:pStyle w:val="ListParagraph"/>
        <w:spacing w:after="0"/>
        <w:rPr>
          <w:rFonts w:asciiTheme="majorHAnsi" w:eastAsiaTheme="majorEastAsia" w:hAnsiTheme="majorHAnsi" w:cstheme="majorBidi"/>
          <w:color w:val="2F5496" w:themeColor="accent1" w:themeShade="BF"/>
          <w:sz w:val="32"/>
          <w:szCs w:val="32"/>
        </w:rPr>
      </w:pPr>
      <w:r>
        <w:rPr>
          <w:bCs/>
          <w:sz w:val="24"/>
          <w:szCs w:val="24"/>
        </w:rPr>
        <w:t xml:space="preserve">As previously noted in this document, BWC’s definition of an inpatient bill is detailed in </w:t>
      </w:r>
      <w:hyperlink r:id="rId30" w:history="1">
        <w:r>
          <w:rPr>
            <w:rStyle w:val="Hyperlink"/>
            <w:sz w:val="24"/>
            <w:szCs w:val="24"/>
          </w:rPr>
          <w:t>OAC 4123-6-01</w:t>
        </w:r>
      </w:hyperlink>
      <w:r>
        <w:rPr>
          <w:rStyle w:val="Hyperlink"/>
          <w:sz w:val="24"/>
          <w:szCs w:val="24"/>
        </w:rPr>
        <w:t xml:space="preserve">. </w:t>
      </w:r>
      <w:r>
        <w:rPr>
          <w:sz w:val="24"/>
          <w:szCs w:val="24"/>
        </w:rPr>
        <w:t xml:space="preserve"> This BWC-specific definition does not follow the Medicare “2- midnight rule</w:t>
      </w:r>
      <w:r w:rsidR="00117858">
        <w:rPr>
          <w:sz w:val="24"/>
          <w:szCs w:val="24"/>
        </w:rPr>
        <w:t>,</w:t>
      </w:r>
      <w:r>
        <w:rPr>
          <w:sz w:val="24"/>
          <w:szCs w:val="24"/>
        </w:rPr>
        <w:t xml:space="preserve">” which </w:t>
      </w:r>
      <w:r w:rsidR="00117858">
        <w:rPr>
          <w:sz w:val="24"/>
          <w:szCs w:val="24"/>
        </w:rPr>
        <w:t xml:space="preserve">maintains </w:t>
      </w:r>
      <w:r>
        <w:rPr>
          <w:sz w:val="24"/>
          <w:szCs w:val="24"/>
        </w:rPr>
        <w:t xml:space="preserve">requirements for when an encounter may be billed as an inpatient service. See the </w:t>
      </w:r>
      <w:hyperlink r:id="rId31" w:history="1">
        <w:r>
          <w:rPr>
            <w:rStyle w:val="Hyperlink"/>
            <w:sz w:val="24"/>
            <w:szCs w:val="24"/>
          </w:rPr>
          <w:t>Medicare Claims Processing Manual Chapter 4</w:t>
        </w:r>
      </w:hyperlink>
      <w:r>
        <w:rPr>
          <w:sz w:val="24"/>
          <w:szCs w:val="24"/>
        </w:rPr>
        <w:t xml:space="preserve"> for additional details about the Medicare 2-midnight provision. </w:t>
      </w:r>
      <w:r w:rsidR="00DA6DD1">
        <w:br w:type="page"/>
      </w:r>
    </w:p>
    <w:p w14:paraId="547F298E" w14:textId="77777777" w:rsidR="00866A25" w:rsidRPr="00D4120F" w:rsidRDefault="00DA0FEF" w:rsidP="00A505C8">
      <w:pPr>
        <w:pStyle w:val="Heading1"/>
        <w:spacing w:before="0"/>
        <w:rPr>
          <w:b/>
        </w:rPr>
      </w:pPr>
      <w:bookmarkStart w:id="12" w:name="_Toc56580522"/>
      <w:r w:rsidRPr="00D4120F">
        <w:rPr>
          <w:b/>
        </w:rPr>
        <w:lastRenderedPageBreak/>
        <w:t xml:space="preserve">Methodology 2: </w:t>
      </w:r>
      <w:r w:rsidR="00F828C9" w:rsidRPr="00D4120F">
        <w:rPr>
          <w:b/>
        </w:rPr>
        <w:t xml:space="preserve">BWC Reimbursement for </w:t>
      </w:r>
      <w:r w:rsidRPr="00D4120F">
        <w:rPr>
          <w:b/>
        </w:rPr>
        <w:t xml:space="preserve">Medicare IPPS-Exempt </w:t>
      </w:r>
      <w:r w:rsidR="00F828C9" w:rsidRPr="00D4120F">
        <w:rPr>
          <w:b/>
        </w:rPr>
        <w:t>Hospitals</w:t>
      </w:r>
      <w:bookmarkEnd w:id="12"/>
    </w:p>
    <w:p w14:paraId="2D6A00BB" w14:textId="77777777" w:rsidR="002B2FC5" w:rsidRDefault="002B2FC5" w:rsidP="00A505C8">
      <w:pPr>
        <w:spacing w:after="0"/>
        <w:rPr>
          <w:sz w:val="24"/>
          <w:szCs w:val="24"/>
        </w:rPr>
      </w:pPr>
    </w:p>
    <w:tbl>
      <w:tblPr>
        <w:tblW w:w="9360" w:type="dxa"/>
        <w:tblInd w:w="80" w:type="dxa"/>
        <w:tblCellMar>
          <w:left w:w="0" w:type="dxa"/>
          <w:right w:w="0" w:type="dxa"/>
        </w:tblCellMar>
        <w:tblLook w:val="04A0" w:firstRow="1" w:lastRow="0" w:firstColumn="1" w:lastColumn="0" w:noHBand="0" w:noVBand="1"/>
      </w:tblPr>
      <w:tblGrid>
        <w:gridCol w:w="1440"/>
        <w:gridCol w:w="2520"/>
        <w:gridCol w:w="5400"/>
      </w:tblGrid>
      <w:tr w:rsidR="002210BC" w:rsidRPr="00473993" w14:paraId="51F61719" w14:textId="77777777" w:rsidTr="002210BC">
        <w:trPr>
          <w:trHeight w:val="694"/>
        </w:trPr>
        <w:tc>
          <w:tcPr>
            <w:tcW w:w="1440" w:type="dxa"/>
            <w:tcBorders>
              <w:top w:val="single" w:sz="8" w:space="0" w:color="FFFFFF"/>
              <w:left w:val="single" w:sz="8" w:space="0" w:color="FFFFFF"/>
              <w:bottom w:val="single" w:sz="24" w:space="0" w:color="FFFFFF"/>
              <w:right w:val="single" w:sz="8" w:space="0" w:color="FFFFFF"/>
            </w:tcBorders>
            <w:shd w:val="clear" w:color="auto" w:fill="7AABDE"/>
          </w:tcPr>
          <w:p w14:paraId="56AADF19" w14:textId="77777777" w:rsidR="002210BC" w:rsidRPr="00473993" w:rsidRDefault="002210BC" w:rsidP="002210BC">
            <w:pPr>
              <w:spacing w:after="0" w:line="240" w:lineRule="auto"/>
              <w:jc w:val="center"/>
              <w:rPr>
                <w:b/>
                <w:bCs/>
                <w:sz w:val="24"/>
                <w:szCs w:val="24"/>
              </w:rPr>
            </w:pPr>
            <w:r>
              <w:rPr>
                <w:b/>
                <w:bCs/>
                <w:sz w:val="24"/>
                <w:szCs w:val="24"/>
              </w:rPr>
              <w:t>Methodology</w:t>
            </w:r>
          </w:p>
        </w:tc>
        <w:tc>
          <w:tcPr>
            <w:tcW w:w="2520" w:type="dxa"/>
            <w:tcBorders>
              <w:top w:val="single" w:sz="8" w:space="0" w:color="FFFFFF"/>
              <w:left w:val="single" w:sz="8" w:space="0" w:color="FFFFFF"/>
              <w:bottom w:val="single" w:sz="24" w:space="0" w:color="FFFFFF"/>
              <w:right w:val="single" w:sz="8" w:space="0" w:color="FFFFFF"/>
            </w:tcBorders>
            <w:shd w:val="clear" w:color="auto" w:fill="7AABDE"/>
            <w:tcMar>
              <w:top w:w="15" w:type="dxa"/>
              <w:left w:w="15" w:type="dxa"/>
              <w:bottom w:w="0" w:type="dxa"/>
              <w:right w:w="15" w:type="dxa"/>
            </w:tcMar>
            <w:hideMark/>
          </w:tcPr>
          <w:p w14:paraId="743DA1C3" w14:textId="77777777" w:rsidR="002210BC" w:rsidRPr="00473993" w:rsidRDefault="002210BC" w:rsidP="002210BC">
            <w:pPr>
              <w:spacing w:after="0" w:line="240" w:lineRule="auto"/>
              <w:jc w:val="center"/>
              <w:rPr>
                <w:sz w:val="24"/>
                <w:szCs w:val="24"/>
              </w:rPr>
            </w:pPr>
            <w:r w:rsidRPr="00473993">
              <w:rPr>
                <w:b/>
                <w:bCs/>
                <w:sz w:val="24"/>
                <w:szCs w:val="24"/>
              </w:rPr>
              <w:t xml:space="preserve">BWC </w:t>
            </w:r>
            <w:r>
              <w:rPr>
                <w:b/>
                <w:bCs/>
                <w:sz w:val="24"/>
                <w:szCs w:val="24"/>
              </w:rPr>
              <w:t xml:space="preserve">Methodology Description </w:t>
            </w:r>
          </w:p>
        </w:tc>
        <w:tc>
          <w:tcPr>
            <w:tcW w:w="5400" w:type="dxa"/>
            <w:tcBorders>
              <w:top w:val="single" w:sz="8" w:space="0" w:color="FFFFFF"/>
              <w:left w:val="single" w:sz="8" w:space="0" w:color="FFFFFF"/>
              <w:bottom w:val="single" w:sz="24" w:space="0" w:color="FFFFFF"/>
              <w:right w:val="single" w:sz="8" w:space="0" w:color="FFFFFF"/>
            </w:tcBorders>
            <w:shd w:val="clear" w:color="auto" w:fill="7AABDE"/>
            <w:tcMar>
              <w:top w:w="15" w:type="dxa"/>
              <w:left w:w="108" w:type="dxa"/>
              <w:bottom w:w="0" w:type="dxa"/>
              <w:right w:w="108" w:type="dxa"/>
            </w:tcMar>
            <w:hideMark/>
          </w:tcPr>
          <w:p w14:paraId="7B73B451" w14:textId="77777777" w:rsidR="002210BC" w:rsidRPr="00473993" w:rsidRDefault="002210BC" w:rsidP="002210BC">
            <w:pPr>
              <w:spacing w:after="0" w:line="240" w:lineRule="auto"/>
              <w:jc w:val="center"/>
              <w:rPr>
                <w:sz w:val="24"/>
                <w:szCs w:val="24"/>
              </w:rPr>
            </w:pPr>
            <w:r w:rsidRPr="00473993">
              <w:rPr>
                <w:b/>
                <w:bCs/>
                <w:sz w:val="24"/>
                <w:szCs w:val="24"/>
              </w:rPr>
              <w:t>BWC Enrollment Type and</w:t>
            </w:r>
          </w:p>
          <w:p w14:paraId="20D978A5" w14:textId="77777777" w:rsidR="002210BC" w:rsidRPr="00473993" w:rsidRDefault="002210BC" w:rsidP="002210BC">
            <w:pPr>
              <w:spacing w:after="0" w:line="240" w:lineRule="auto"/>
              <w:jc w:val="center"/>
              <w:rPr>
                <w:sz w:val="24"/>
                <w:szCs w:val="24"/>
              </w:rPr>
            </w:pPr>
            <w:r w:rsidRPr="00473993">
              <w:rPr>
                <w:b/>
                <w:bCs/>
                <w:sz w:val="24"/>
                <w:szCs w:val="24"/>
              </w:rPr>
              <w:t>Medicare IPPS Status</w:t>
            </w:r>
          </w:p>
        </w:tc>
      </w:tr>
      <w:tr w:rsidR="002210BC" w:rsidRPr="00473993" w14:paraId="1CF8A426" w14:textId="77777777" w:rsidTr="002210BC">
        <w:trPr>
          <w:trHeight w:val="627"/>
        </w:trPr>
        <w:tc>
          <w:tcPr>
            <w:tcW w:w="1440" w:type="dxa"/>
            <w:tcBorders>
              <w:top w:val="single" w:sz="24" w:space="0" w:color="FFFFFF"/>
              <w:left w:val="single" w:sz="8" w:space="0" w:color="FFFFFF"/>
              <w:bottom w:val="single" w:sz="8" w:space="0" w:color="FFFFFF"/>
              <w:right w:val="single" w:sz="8" w:space="0" w:color="FFFFFF"/>
            </w:tcBorders>
            <w:shd w:val="clear" w:color="auto" w:fill="CADDF2"/>
          </w:tcPr>
          <w:p w14:paraId="68E10D05" w14:textId="77777777" w:rsidR="002210BC" w:rsidRPr="00473993" w:rsidRDefault="002210BC" w:rsidP="002210BC">
            <w:pPr>
              <w:spacing w:after="0" w:line="240" w:lineRule="auto"/>
              <w:jc w:val="center"/>
              <w:rPr>
                <w:sz w:val="24"/>
                <w:szCs w:val="24"/>
              </w:rPr>
            </w:pPr>
            <w:r>
              <w:rPr>
                <w:sz w:val="24"/>
                <w:szCs w:val="24"/>
              </w:rPr>
              <w:t>2</w:t>
            </w:r>
          </w:p>
        </w:tc>
        <w:tc>
          <w:tcPr>
            <w:tcW w:w="2520" w:type="dxa"/>
            <w:tcBorders>
              <w:top w:val="single" w:sz="24" w:space="0" w:color="FFFFFF"/>
              <w:left w:val="single" w:sz="8" w:space="0" w:color="FFFFFF"/>
              <w:bottom w:val="single" w:sz="8" w:space="0" w:color="FFFFFF"/>
              <w:right w:val="single" w:sz="8" w:space="0" w:color="FFFFFF"/>
            </w:tcBorders>
            <w:shd w:val="clear" w:color="auto" w:fill="CADDF2"/>
            <w:tcMar>
              <w:top w:w="15" w:type="dxa"/>
              <w:left w:w="15" w:type="dxa"/>
              <w:bottom w:w="0" w:type="dxa"/>
              <w:right w:w="15" w:type="dxa"/>
            </w:tcMar>
            <w:hideMark/>
          </w:tcPr>
          <w:p w14:paraId="1CBD6B16" w14:textId="77777777" w:rsidR="002210BC" w:rsidRPr="00473993" w:rsidRDefault="002210BC" w:rsidP="002210BC">
            <w:pPr>
              <w:spacing w:after="0" w:line="240" w:lineRule="auto"/>
              <w:rPr>
                <w:sz w:val="24"/>
                <w:szCs w:val="24"/>
              </w:rPr>
            </w:pPr>
            <w:r w:rsidRPr="00473993">
              <w:rPr>
                <w:sz w:val="24"/>
                <w:szCs w:val="24"/>
              </w:rPr>
              <w:t xml:space="preserve">IPPS-exempt methodology </w:t>
            </w:r>
          </w:p>
        </w:tc>
        <w:tc>
          <w:tcPr>
            <w:tcW w:w="5400" w:type="dxa"/>
            <w:tcBorders>
              <w:top w:val="single" w:sz="24" w:space="0" w:color="FFFFFF"/>
              <w:left w:val="single" w:sz="8" w:space="0" w:color="FFFFFF"/>
              <w:bottom w:val="single" w:sz="8" w:space="0" w:color="FFFFFF"/>
              <w:right w:val="single" w:sz="8" w:space="0" w:color="FFFFFF"/>
            </w:tcBorders>
            <w:shd w:val="clear" w:color="auto" w:fill="CADDF2"/>
            <w:tcMar>
              <w:top w:w="15" w:type="dxa"/>
              <w:left w:w="108" w:type="dxa"/>
              <w:bottom w:w="0" w:type="dxa"/>
              <w:right w:w="108" w:type="dxa"/>
            </w:tcMar>
            <w:hideMark/>
          </w:tcPr>
          <w:p w14:paraId="29C1DE8B" w14:textId="77777777" w:rsidR="002210BC" w:rsidRPr="00473993" w:rsidRDefault="002210BC" w:rsidP="002210BC">
            <w:pPr>
              <w:spacing w:after="0" w:line="240" w:lineRule="auto"/>
              <w:rPr>
                <w:sz w:val="24"/>
                <w:szCs w:val="24"/>
              </w:rPr>
            </w:pPr>
            <w:r w:rsidRPr="00473993">
              <w:rPr>
                <w:sz w:val="24"/>
                <w:szCs w:val="24"/>
              </w:rPr>
              <w:t>Type 34 – Acute care hospital and Medicare IPPS exempt hospital or unit</w:t>
            </w:r>
          </w:p>
          <w:p w14:paraId="0D835324" w14:textId="77777777" w:rsidR="002210BC" w:rsidRPr="00473993" w:rsidRDefault="002210BC" w:rsidP="002210BC">
            <w:pPr>
              <w:spacing w:after="0" w:line="240" w:lineRule="auto"/>
              <w:rPr>
                <w:sz w:val="24"/>
                <w:szCs w:val="24"/>
              </w:rPr>
            </w:pPr>
            <w:r w:rsidRPr="00473993">
              <w:rPr>
                <w:sz w:val="24"/>
                <w:szCs w:val="24"/>
              </w:rPr>
              <w:t>Type 36 – Psych</w:t>
            </w:r>
            <w:r>
              <w:rPr>
                <w:sz w:val="24"/>
                <w:szCs w:val="24"/>
              </w:rPr>
              <w:t>iatric</w:t>
            </w:r>
            <w:r w:rsidRPr="00473993">
              <w:rPr>
                <w:sz w:val="24"/>
                <w:szCs w:val="24"/>
              </w:rPr>
              <w:t xml:space="preserve"> hospital</w:t>
            </w:r>
          </w:p>
          <w:p w14:paraId="02193AFD" w14:textId="77777777" w:rsidR="002210BC" w:rsidRPr="00473993" w:rsidRDefault="002210BC" w:rsidP="002210BC">
            <w:pPr>
              <w:spacing w:after="0" w:line="240" w:lineRule="auto"/>
              <w:rPr>
                <w:sz w:val="24"/>
                <w:szCs w:val="24"/>
              </w:rPr>
            </w:pPr>
            <w:r w:rsidRPr="00473993">
              <w:rPr>
                <w:sz w:val="24"/>
                <w:szCs w:val="24"/>
              </w:rPr>
              <w:t>Type 37 – Rehabilitation hospital</w:t>
            </w:r>
          </w:p>
        </w:tc>
      </w:tr>
    </w:tbl>
    <w:p w14:paraId="09BE0E0B" w14:textId="77777777" w:rsidR="002210BC" w:rsidRDefault="002210BC" w:rsidP="00A505C8">
      <w:pPr>
        <w:spacing w:after="0"/>
        <w:rPr>
          <w:sz w:val="24"/>
          <w:szCs w:val="24"/>
        </w:rPr>
      </w:pPr>
    </w:p>
    <w:p w14:paraId="5B2D6402" w14:textId="77777777" w:rsidR="002210BC" w:rsidRPr="005D57AE" w:rsidRDefault="00046112" w:rsidP="00046112">
      <w:pPr>
        <w:pStyle w:val="Heading2"/>
        <w:spacing w:before="0"/>
      </w:pPr>
      <w:bookmarkStart w:id="13" w:name="_Toc56580523"/>
      <w:r w:rsidRPr="00046112">
        <w:t>A.</w:t>
      </w:r>
      <w:r>
        <w:t xml:space="preserve"> </w:t>
      </w:r>
      <w:r w:rsidR="002210BC">
        <w:t>Background</w:t>
      </w:r>
      <w:bookmarkEnd w:id="13"/>
    </w:p>
    <w:p w14:paraId="77627A6A" w14:textId="77777777" w:rsidR="00DA0FEF" w:rsidRDefault="002210BC" w:rsidP="008B61FB">
      <w:pPr>
        <w:spacing w:after="0"/>
        <w:jc w:val="both"/>
        <w:rPr>
          <w:sz w:val="24"/>
          <w:szCs w:val="24"/>
        </w:rPr>
      </w:pPr>
      <w:r>
        <w:rPr>
          <w:sz w:val="24"/>
          <w:szCs w:val="24"/>
        </w:rPr>
        <w:t>This methodology is utilized to calculate reimbursement when a hospital is enrolled with BWC as a psychiatric hospital (type 36), a rehabilitation hospital (type 37) or an acute care hospital (type 34) that Medicare is IPPS exempt.</w:t>
      </w:r>
      <w:r w:rsidR="008B61FB">
        <w:rPr>
          <w:sz w:val="24"/>
          <w:szCs w:val="24"/>
        </w:rPr>
        <w:t xml:space="preserve"> While Medicare has their own methodologies for reimbursing these facilities, BWC does not follow Medicare</w:t>
      </w:r>
      <w:r w:rsidR="00CC5D5D">
        <w:rPr>
          <w:sz w:val="24"/>
          <w:szCs w:val="24"/>
        </w:rPr>
        <w:t>’s policies</w:t>
      </w:r>
      <w:r w:rsidR="008B61FB">
        <w:rPr>
          <w:sz w:val="24"/>
          <w:szCs w:val="24"/>
        </w:rPr>
        <w:t xml:space="preserve"> for reimbursing these facilities.</w:t>
      </w:r>
    </w:p>
    <w:p w14:paraId="17FF1E9C" w14:textId="62A9DED2" w:rsidR="002210BC" w:rsidRDefault="002210BC" w:rsidP="008B61FB">
      <w:pPr>
        <w:spacing w:after="0"/>
        <w:jc w:val="both"/>
        <w:rPr>
          <w:sz w:val="24"/>
          <w:szCs w:val="24"/>
        </w:rPr>
      </w:pPr>
    </w:p>
    <w:p w14:paraId="314601F1" w14:textId="6221C17B" w:rsidR="008B61FB" w:rsidRDefault="00046112" w:rsidP="008B61FB">
      <w:pPr>
        <w:pStyle w:val="Heading2"/>
        <w:spacing w:before="0"/>
        <w:jc w:val="both"/>
      </w:pPr>
      <w:bookmarkStart w:id="14" w:name="_Toc56580524"/>
      <w:r>
        <w:t xml:space="preserve">B. </w:t>
      </w:r>
      <w:r w:rsidR="008B61FB">
        <w:t>Calculating Reimbursement</w:t>
      </w:r>
      <w:bookmarkEnd w:id="14"/>
    </w:p>
    <w:p w14:paraId="65C54806" w14:textId="77777777" w:rsidR="00F828C9" w:rsidRDefault="008B61FB" w:rsidP="008B61FB">
      <w:pPr>
        <w:spacing w:after="0"/>
        <w:jc w:val="both"/>
        <w:rPr>
          <w:sz w:val="24"/>
          <w:szCs w:val="24"/>
        </w:rPr>
      </w:pPr>
      <w:r>
        <w:rPr>
          <w:sz w:val="24"/>
          <w:szCs w:val="24"/>
        </w:rPr>
        <w:t>BWC reimburses t</w:t>
      </w:r>
      <w:r w:rsidR="002210BC">
        <w:rPr>
          <w:sz w:val="24"/>
          <w:szCs w:val="24"/>
        </w:rPr>
        <w:t xml:space="preserve">hese hospitals </w:t>
      </w:r>
      <w:r>
        <w:rPr>
          <w:sz w:val="24"/>
          <w:szCs w:val="24"/>
        </w:rPr>
        <w:t>at a</w:t>
      </w:r>
      <w:r w:rsidR="002210BC">
        <w:rPr>
          <w:sz w:val="24"/>
          <w:szCs w:val="24"/>
        </w:rPr>
        <w:t xml:space="preserve"> percentage above their cost on a bill by bill basis.  </w:t>
      </w:r>
    </w:p>
    <w:p w14:paraId="5C690756" w14:textId="77777777" w:rsidR="005F4AFE" w:rsidRDefault="005F4AFE" w:rsidP="008B61FB">
      <w:pPr>
        <w:spacing w:after="0"/>
        <w:jc w:val="both"/>
        <w:rPr>
          <w:sz w:val="24"/>
          <w:szCs w:val="24"/>
        </w:rPr>
      </w:pPr>
    </w:p>
    <w:p w14:paraId="444B636E" w14:textId="5E58F6B6" w:rsidR="00F828C9" w:rsidRPr="005F4AFE" w:rsidRDefault="00F828C9" w:rsidP="008B61FB">
      <w:pPr>
        <w:spacing w:after="0"/>
        <w:jc w:val="both"/>
        <w:rPr>
          <w:sz w:val="24"/>
          <w:szCs w:val="24"/>
        </w:rPr>
      </w:pPr>
      <w:r w:rsidRPr="005F4AFE">
        <w:rPr>
          <w:sz w:val="24"/>
          <w:szCs w:val="24"/>
        </w:rPr>
        <w:t>Step 1</w:t>
      </w:r>
      <w:r w:rsidR="005F4AFE" w:rsidRPr="005F4AFE">
        <w:rPr>
          <w:sz w:val="24"/>
          <w:szCs w:val="24"/>
        </w:rPr>
        <w:t xml:space="preserve"> -</w:t>
      </w:r>
      <w:r w:rsidRPr="005F4AFE">
        <w:rPr>
          <w:sz w:val="24"/>
          <w:szCs w:val="24"/>
        </w:rPr>
        <w:t xml:space="preserve"> </w:t>
      </w:r>
      <w:r w:rsidR="008B61FB" w:rsidRPr="005F4AFE">
        <w:rPr>
          <w:sz w:val="24"/>
          <w:szCs w:val="24"/>
        </w:rPr>
        <w:t xml:space="preserve">For rate year </w:t>
      </w:r>
      <w:r w:rsidR="005D3A70">
        <w:rPr>
          <w:sz w:val="24"/>
          <w:szCs w:val="24"/>
        </w:rPr>
        <w:t>2021</w:t>
      </w:r>
      <w:r w:rsidR="008B61FB" w:rsidRPr="005F4AFE">
        <w:rPr>
          <w:sz w:val="24"/>
          <w:szCs w:val="24"/>
        </w:rPr>
        <w:t>, t</w:t>
      </w:r>
      <w:r w:rsidR="002210BC" w:rsidRPr="005F4AFE">
        <w:rPr>
          <w:sz w:val="24"/>
          <w:szCs w:val="24"/>
        </w:rPr>
        <w:t xml:space="preserve">he </w:t>
      </w:r>
      <w:r w:rsidR="008B61FB" w:rsidRPr="005F4AFE">
        <w:rPr>
          <w:sz w:val="24"/>
          <w:szCs w:val="24"/>
        </w:rPr>
        <w:t>hospital c</w:t>
      </w:r>
      <w:r w:rsidR="002210BC" w:rsidRPr="005F4AFE">
        <w:rPr>
          <w:sz w:val="24"/>
          <w:szCs w:val="24"/>
        </w:rPr>
        <w:t xml:space="preserve">ost </w:t>
      </w:r>
      <w:r w:rsidR="008B61FB" w:rsidRPr="005F4AFE">
        <w:rPr>
          <w:sz w:val="24"/>
          <w:szCs w:val="24"/>
        </w:rPr>
        <w:t xml:space="preserve">for each </w:t>
      </w:r>
      <w:r w:rsidR="002210BC" w:rsidRPr="005F4AFE">
        <w:rPr>
          <w:sz w:val="24"/>
          <w:szCs w:val="24"/>
        </w:rPr>
        <w:t xml:space="preserve">bill is </w:t>
      </w:r>
      <w:r w:rsidR="008B61FB" w:rsidRPr="005F4AFE">
        <w:rPr>
          <w:sz w:val="24"/>
          <w:szCs w:val="24"/>
        </w:rPr>
        <w:t>calculated</w:t>
      </w:r>
      <w:r w:rsidR="002210BC" w:rsidRPr="005F4AFE">
        <w:rPr>
          <w:sz w:val="24"/>
          <w:szCs w:val="24"/>
        </w:rPr>
        <w:t xml:space="preserve"> by multiplying the </w:t>
      </w:r>
      <w:r w:rsidR="008B61FB" w:rsidRPr="005F4AFE">
        <w:rPr>
          <w:sz w:val="24"/>
          <w:szCs w:val="24"/>
        </w:rPr>
        <w:t xml:space="preserve">allowed billed charges on the bill by the hospital’s July </w:t>
      </w:r>
      <w:r w:rsidR="005D3A70">
        <w:rPr>
          <w:sz w:val="24"/>
          <w:szCs w:val="24"/>
        </w:rPr>
        <w:t>2020</w:t>
      </w:r>
      <w:r w:rsidR="005D3A70" w:rsidRPr="005F4AFE">
        <w:rPr>
          <w:sz w:val="24"/>
          <w:szCs w:val="24"/>
        </w:rPr>
        <w:t xml:space="preserve"> </w:t>
      </w:r>
      <w:r w:rsidR="008B61FB" w:rsidRPr="005F4AFE">
        <w:rPr>
          <w:sz w:val="24"/>
          <w:szCs w:val="24"/>
        </w:rPr>
        <w:t>cost-to-charge ratio.</w:t>
      </w:r>
    </w:p>
    <w:p w14:paraId="1B325019" w14:textId="77777777" w:rsidR="005F4AFE" w:rsidRDefault="005F4AFE" w:rsidP="008B61FB">
      <w:pPr>
        <w:spacing w:after="0"/>
        <w:jc w:val="both"/>
        <w:rPr>
          <w:sz w:val="24"/>
          <w:szCs w:val="24"/>
        </w:rPr>
      </w:pPr>
    </w:p>
    <w:p w14:paraId="7437A074" w14:textId="77777777" w:rsidR="00F828C9" w:rsidRPr="005F4AFE" w:rsidRDefault="00F828C9" w:rsidP="008B61FB">
      <w:pPr>
        <w:spacing w:after="0"/>
        <w:jc w:val="both"/>
        <w:rPr>
          <w:sz w:val="24"/>
          <w:szCs w:val="24"/>
        </w:rPr>
      </w:pPr>
      <w:r w:rsidRPr="005F4AFE">
        <w:rPr>
          <w:sz w:val="24"/>
          <w:szCs w:val="24"/>
        </w:rPr>
        <w:t>Step 2</w:t>
      </w:r>
      <w:r w:rsidR="005F4AFE" w:rsidRPr="005F4AFE">
        <w:rPr>
          <w:sz w:val="24"/>
          <w:szCs w:val="24"/>
        </w:rPr>
        <w:t xml:space="preserve"> - </w:t>
      </w:r>
      <w:r w:rsidRPr="005F4AFE">
        <w:rPr>
          <w:sz w:val="24"/>
          <w:szCs w:val="24"/>
        </w:rPr>
        <w:t xml:space="preserve"> </w:t>
      </w:r>
      <w:r w:rsidR="008B61FB" w:rsidRPr="005F4AFE">
        <w:rPr>
          <w:sz w:val="24"/>
          <w:szCs w:val="24"/>
        </w:rPr>
        <w:t xml:space="preserve">That cost figure is further multiplied by a payment adjustment factor or 1.14. </w:t>
      </w:r>
    </w:p>
    <w:p w14:paraId="15136606" w14:textId="77777777" w:rsidR="005F4AFE" w:rsidRDefault="005F4AFE" w:rsidP="008B61FB">
      <w:pPr>
        <w:spacing w:after="0"/>
        <w:jc w:val="both"/>
        <w:rPr>
          <w:sz w:val="24"/>
          <w:szCs w:val="24"/>
        </w:rPr>
      </w:pPr>
    </w:p>
    <w:p w14:paraId="243DAC9A" w14:textId="77777777" w:rsidR="00BE379F" w:rsidRDefault="00F828C9" w:rsidP="008B61FB">
      <w:pPr>
        <w:spacing w:after="0"/>
        <w:jc w:val="both"/>
        <w:rPr>
          <w:sz w:val="24"/>
          <w:szCs w:val="24"/>
        </w:rPr>
      </w:pPr>
      <w:r w:rsidRPr="005F4AFE">
        <w:rPr>
          <w:sz w:val="24"/>
          <w:szCs w:val="24"/>
        </w:rPr>
        <w:t>Step 3</w:t>
      </w:r>
      <w:r w:rsidR="005F4AFE" w:rsidRPr="005F4AFE">
        <w:rPr>
          <w:sz w:val="24"/>
          <w:szCs w:val="24"/>
        </w:rPr>
        <w:t xml:space="preserve"> - </w:t>
      </w:r>
      <w:r w:rsidR="008B61FB" w:rsidRPr="005F4AFE">
        <w:rPr>
          <w:sz w:val="24"/>
          <w:szCs w:val="24"/>
        </w:rPr>
        <w:t>That</w:t>
      </w:r>
      <w:r w:rsidR="008B61FB">
        <w:rPr>
          <w:sz w:val="24"/>
          <w:szCs w:val="24"/>
        </w:rPr>
        <w:t xml:space="preserve"> resulting figure is capped at 70% of allowed charges if applicable. </w:t>
      </w:r>
    </w:p>
    <w:p w14:paraId="6D13612A" w14:textId="77777777" w:rsidR="00DA0FEF" w:rsidRDefault="008B61FB" w:rsidP="008B61FB">
      <w:pPr>
        <w:spacing w:after="0"/>
        <w:jc w:val="both"/>
        <w:rPr>
          <w:sz w:val="24"/>
          <w:szCs w:val="24"/>
        </w:rPr>
      </w:pPr>
      <w:r>
        <w:rPr>
          <w:sz w:val="24"/>
          <w:szCs w:val="24"/>
        </w:rPr>
        <w:t xml:space="preserve"> </w:t>
      </w:r>
    </w:p>
    <w:p w14:paraId="1B838491" w14:textId="77777777" w:rsidR="00DA6DD1" w:rsidRPr="00DA6DD1" w:rsidRDefault="00DA6DD1" w:rsidP="00A11040">
      <w:pPr>
        <w:pStyle w:val="ListParagraph"/>
        <w:numPr>
          <w:ilvl w:val="0"/>
          <w:numId w:val="20"/>
        </w:numPr>
        <w:spacing w:line="276" w:lineRule="auto"/>
        <w:rPr>
          <w:b/>
          <w:sz w:val="24"/>
          <w:szCs w:val="24"/>
        </w:rPr>
      </w:pPr>
      <w:r w:rsidRPr="00DA6DD1">
        <w:rPr>
          <w:b/>
          <w:sz w:val="24"/>
          <w:szCs w:val="24"/>
        </w:rPr>
        <w:t>Formula</w:t>
      </w:r>
    </w:p>
    <w:p w14:paraId="1F816F57" w14:textId="77777777" w:rsidR="00DA6DD1" w:rsidRDefault="00DA6DD1" w:rsidP="00DA6DD1">
      <w:pPr>
        <w:pStyle w:val="ListParagraph"/>
        <w:spacing w:line="276" w:lineRule="auto"/>
        <w:rPr>
          <w:b/>
          <w:i/>
          <w:color w:val="4472C4" w:themeColor="accent1"/>
          <w:sz w:val="24"/>
          <w:szCs w:val="24"/>
        </w:rPr>
      </w:pPr>
      <w:r w:rsidRPr="002D40FA">
        <w:rPr>
          <w:b/>
          <w:i/>
          <w:color w:val="4472C4" w:themeColor="accent1"/>
          <w:sz w:val="24"/>
          <w:szCs w:val="24"/>
        </w:rPr>
        <w:t>BWC IPPS-exempt reimbursement rate = Allowed billed charges x hospital-specific cost-to-charge ratio x 1.14, not to exceed 70% of the hospital’s billed charges.</w:t>
      </w:r>
    </w:p>
    <w:p w14:paraId="43992D14" w14:textId="77777777" w:rsidR="00BE379F" w:rsidRDefault="00BE379F" w:rsidP="00DA6DD1">
      <w:pPr>
        <w:pStyle w:val="ListParagraph"/>
        <w:spacing w:line="276" w:lineRule="auto"/>
        <w:rPr>
          <w:b/>
          <w:i/>
          <w:color w:val="4472C4" w:themeColor="accent1"/>
          <w:sz w:val="24"/>
          <w:szCs w:val="24"/>
        </w:rPr>
      </w:pPr>
    </w:p>
    <w:p w14:paraId="66633540" w14:textId="77777777" w:rsidR="00D613FB" w:rsidRDefault="00D613FB" w:rsidP="00DA6DD1">
      <w:pPr>
        <w:pStyle w:val="ListParagraph"/>
        <w:spacing w:line="276" w:lineRule="auto"/>
        <w:rPr>
          <w:sz w:val="24"/>
          <w:szCs w:val="24"/>
        </w:rPr>
      </w:pPr>
      <w:r w:rsidRPr="00D613FB">
        <w:rPr>
          <w:sz w:val="24"/>
          <w:szCs w:val="24"/>
        </w:rPr>
        <w:t>Example</w:t>
      </w:r>
      <w:r w:rsidR="00EF7369">
        <w:rPr>
          <w:sz w:val="24"/>
          <w:szCs w:val="24"/>
        </w:rPr>
        <w:t xml:space="preserve"> payment calculation:</w:t>
      </w:r>
    </w:p>
    <w:p w14:paraId="06FEC20D" w14:textId="77777777" w:rsidR="00D613FB" w:rsidRDefault="00D613FB" w:rsidP="00DA6DD1">
      <w:pPr>
        <w:pStyle w:val="ListParagraph"/>
        <w:spacing w:line="276" w:lineRule="auto"/>
        <w:rPr>
          <w:sz w:val="24"/>
          <w:szCs w:val="24"/>
        </w:rPr>
      </w:pPr>
      <w:r>
        <w:rPr>
          <w:sz w:val="24"/>
          <w:szCs w:val="24"/>
        </w:rPr>
        <w:t xml:space="preserve">Allowed </w:t>
      </w:r>
      <w:r w:rsidR="00EF7369">
        <w:rPr>
          <w:sz w:val="24"/>
          <w:szCs w:val="24"/>
        </w:rPr>
        <w:t xml:space="preserve">billed </w:t>
      </w:r>
      <w:r>
        <w:rPr>
          <w:sz w:val="24"/>
          <w:szCs w:val="24"/>
        </w:rPr>
        <w:t xml:space="preserve">charges = $5000 </w:t>
      </w:r>
    </w:p>
    <w:p w14:paraId="7667327A" w14:textId="15FD7E2F" w:rsidR="00D613FB" w:rsidRDefault="00EF7369" w:rsidP="00DA6DD1">
      <w:pPr>
        <w:pStyle w:val="ListParagraph"/>
        <w:spacing w:line="276" w:lineRule="auto"/>
        <w:rPr>
          <w:sz w:val="24"/>
          <w:szCs w:val="24"/>
        </w:rPr>
      </w:pPr>
      <w:r>
        <w:rPr>
          <w:sz w:val="24"/>
          <w:szCs w:val="24"/>
        </w:rPr>
        <w:t xml:space="preserve">Hospital’s July </w:t>
      </w:r>
      <w:r w:rsidR="005D3A70">
        <w:rPr>
          <w:sz w:val="24"/>
          <w:szCs w:val="24"/>
        </w:rPr>
        <w:t>2020</w:t>
      </w:r>
      <w:r>
        <w:rPr>
          <w:sz w:val="24"/>
          <w:szCs w:val="24"/>
        </w:rPr>
        <w:t xml:space="preserve"> </w:t>
      </w:r>
      <w:r w:rsidR="00D613FB">
        <w:rPr>
          <w:sz w:val="24"/>
          <w:szCs w:val="24"/>
        </w:rPr>
        <w:t>CCR = .359</w:t>
      </w:r>
    </w:p>
    <w:p w14:paraId="700876A4" w14:textId="77777777" w:rsidR="00D613FB" w:rsidRDefault="00EF7369" w:rsidP="00DA6DD1">
      <w:pPr>
        <w:pStyle w:val="ListParagraph"/>
        <w:spacing w:line="276" w:lineRule="auto"/>
        <w:rPr>
          <w:sz w:val="24"/>
          <w:szCs w:val="24"/>
        </w:rPr>
      </w:pPr>
      <w:r>
        <w:rPr>
          <w:sz w:val="24"/>
          <w:szCs w:val="24"/>
        </w:rPr>
        <w:t xml:space="preserve">BWC </w:t>
      </w:r>
      <w:r w:rsidR="00D613FB">
        <w:rPr>
          <w:sz w:val="24"/>
          <w:szCs w:val="24"/>
        </w:rPr>
        <w:t>PAF = 1.14</w:t>
      </w:r>
    </w:p>
    <w:p w14:paraId="4A23E5E3" w14:textId="1A198958" w:rsidR="00D613FB" w:rsidRPr="00D613FB" w:rsidRDefault="00D613FB" w:rsidP="00DA6DD1">
      <w:pPr>
        <w:pStyle w:val="ListParagraph"/>
        <w:spacing w:line="276" w:lineRule="auto"/>
        <w:rPr>
          <w:sz w:val="24"/>
          <w:szCs w:val="24"/>
        </w:rPr>
      </w:pPr>
      <w:r>
        <w:rPr>
          <w:sz w:val="24"/>
          <w:szCs w:val="24"/>
        </w:rPr>
        <w:t>$5000 x .3</w:t>
      </w:r>
      <w:r w:rsidR="008E65FB">
        <w:rPr>
          <w:sz w:val="24"/>
          <w:szCs w:val="24"/>
        </w:rPr>
        <w:t>5</w:t>
      </w:r>
      <w:r>
        <w:rPr>
          <w:sz w:val="24"/>
          <w:szCs w:val="24"/>
        </w:rPr>
        <w:t>9 x 1.14 = $2046.30</w:t>
      </w:r>
    </w:p>
    <w:p w14:paraId="5E371705" w14:textId="0870BF58" w:rsidR="00D613FB" w:rsidRDefault="00D613FB" w:rsidP="00DA6DD1">
      <w:pPr>
        <w:pStyle w:val="ListParagraph"/>
        <w:spacing w:line="276" w:lineRule="auto"/>
        <w:rPr>
          <w:b/>
          <w:i/>
          <w:color w:val="4472C4" w:themeColor="accent1"/>
          <w:sz w:val="24"/>
          <w:szCs w:val="24"/>
        </w:rPr>
      </w:pPr>
    </w:p>
    <w:p w14:paraId="68693A4E" w14:textId="1AB5D69E" w:rsidR="008E65FB" w:rsidRDefault="008E65FB" w:rsidP="00DA6DD1">
      <w:pPr>
        <w:pStyle w:val="ListParagraph"/>
        <w:spacing w:line="276" w:lineRule="auto"/>
        <w:rPr>
          <w:bCs/>
          <w:iCs/>
          <w:sz w:val="24"/>
          <w:szCs w:val="24"/>
        </w:rPr>
      </w:pPr>
      <w:r w:rsidRPr="008E65FB">
        <w:rPr>
          <w:bCs/>
          <w:iCs/>
          <w:sz w:val="24"/>
          <w:szCs w:val="24"/>
        </w:rPr>
        <w:t>Example payment calculation</w:t>
      </w:r>
      <w:r>
        <w:rPr>
          <w:bCs/>
          <w:iCs/>
          <w:sz w:val="24"/>
          <w:szCs w:val="24"/>
        </w:rPr>
        <w:t xml:space="preserve"> </w:t>
      </w:r>
      <w:r w:rsidR="00C032D3">
        <w:rPr>
          <w:bCs/>
          <w:iCs/>
          <w:sz w:val="24"/>
          <w:szCs w:val="24"/>
        </w:rPr>
        <w:t>requiring</w:t>
      </w:r>
      <w:r>
        <w:rPr>
          <w:bCs/>
          <w:iCs/>
          <w:sz w:val="24"/>
          <w:szCs w:val="24"/>
        </w:rPr>
        <w:t xml:space="preserve"> 70% cap:</w:t>
      </w:r>
    </w:p>
    <w:p w14:paraId="19B6724D" w14:textId="4989792F" w:rsidR="008E65FB" w:rsidRDefault="008E65FB" w:rsidP="008E65FB">
      <w:pPr>
        <w:pStyle w:val="ListParagraph"/>
        <w:spacing w:line="276" w:lineRule="auto"/>
        <w:rPr>
          <w:sz w:val="24"/>
          <w:szCs w:val="24"/>
        </w:rPr>
      </w:pPr>
      <w:r>
        <w:rPr>
          <w:sz w:val="24"/>
          <w:szCs w:val="24"/>
        </w:rPr>
        <w:t xml:space="preserve">Allowed billed charges = $5000 </w:t>
      </w:r>
      <w:r w:rsidR="005B2624">
        <w:rPr>
          <w:sz w:val="24"/>
          <w:szCs w:val="24"/>
        </w:rPr>
        <w:t>(cap is 70% of charges or $3500)</w:t>
      </w:r>
    </w:p>
    <w:p w14:paraId="074BC5A6" w14:textId="38DE914A" w:rsidR="008E65FB" w:rsidRDefault="008E65FB" w:rsidP="008E65FB">
      <w:pPr>
        <w:pStyle w:val="ListParagraph"/>
        <w:spacing w:line="276" w:lineRule="auto"/>
        <w:rPr>
          <w:sz w:val="24"/>
          <w:szCs w:val="24"/>
        </w:rPr>
      </w:pPr>
      <w:r>
        <w:rPr>
          <w:sz w:val="24"/>
          <w:szCs w:val="24"/>
        </w:rPr>
        <w:t xml:space="preserve">Hospital’s July </w:t>
      </w:r>
      <w:r w:rsidR="005D3A70">
        <w:rPr>
          <w:sz w:val="24"/>
          <w:szCs w:val="24"/>
        </w:rPr>
        <w:t xml:space="preserve">2020 </w:t>
      </w:r>
      <w:r>
        <w:rPr>
          <w:sz w:val="24"/>
          <w:szCs w:val="24"/>
        </w:rPr>
        <w:t>CCR = .</w:t>
      </w:r>
      <w:r w:rsidR="005B2624">
        <w:rPr>
          <w:sz w:val="24"/>
          <w:szCs w:val="24"/>
        </w:rPr>
        <w:t>650</w:t>
      </w:r>
    </w:p>
    <w:p w14:paraId="00EA2456" w14:textId="77777777" w:rsidR="008E65FB" w:rsidRDefault="008E65FB" w:rsidP="008E65FB">
      <w:pPr>
        <w:pStyle w:val="ListParagraph"/>
        <w:spacing w:line="276" w:lineRule="auto"/>
        <w:rPr>
          <w:sz w:val="24"/>
          <w:szCs w:val="24"/>
        </w:rPr>
      </w:pPr>
      <w:r>
        <w:rPr>
          <w:sz w:val="24"/>
          <w:szCs w:val="24"/>
        </w:rPr>
        <w:lastRenderedPageBreak/>
        <w:t>BWC PAF = 1.14</w:t>
      </w:r>
    </w:p>
    <w:p w14:paraId="2E649A90" w14:textId="3712098B" w:rsidR="008E65FB" w:rsidRDefault="008E65FB" w:rsidP="008E65FB">
      <w:pPr>
        <w:pStyle w:val="ListParagraph"/>
        <w:spacing w:line="276" w:lineRule="auto"/>
        <w:rPr>
          <w:sz w:val="24"/>
          <w:szCs w:val="24"/>
        </w:rPr>
      </w:pPr>
      <w:r>
        <w:rPr>
          <w:sz w:val="24"/>
          <w:szCs w:val="24"/>
        </w:rPr>
        <w:t>$5000 x .</w:t>
      </w:r>
      <w:r w:rsidR="005B2624">
        <w:rPr>
          <w:sz w:val="24"/>
          <w:szCs w:val="24"/>
        </w:rPr>
        <w:t>650</w:t>
      </w:r>
      <w:r>
        <w:rPr>
          <w:sz w:val="24"/>
          <w:szCs w:val="24"/>
        </w:rPr>
        <w:t xml:space="preserve"> x 1.14 = $</w:t>
      </w:r>
      <w:r w:rsidR="005B2624">
        <w:rPr>
          <w:sz w:val="24"/>
          <w:szCs w:val="24"/>
        </w:rPr>
        <w:t>3705.00</w:t>
      </w:r>
    </w:p>
    <w:p w14:paraId="4A04D85C" w14:textId="06EB6B95" w:rsidR="005B2624" w:rsidRPr="00D613FB" w:rsidRDefault="005B2624" w:rsidP="008E65FB">
      <w:pPr>
        <w:pStyle w:val="ListParagraph"/>
        <w:spacing w:line="276" w:lineRule="auto"/>
        <w:rPr>
          <w:sz w:val="24"/>
          <w:szCs w:val="24"/>
        </w:rPr>
      </w:pPr>
      <w:r>
        <w:rPr>
          <w:sz w:val="24"/>
          <w:szCs w:val="24"/>
        </w:rPr>
        <w:t>Payment is capped at $3500</w:t>
      </w:r>
    </w:p>
    <w:p w14:paraId="13B1C94D" w14:textId="77777777" w:rsidR="008E65FB" w:rsidRPr="008E65FB" w:rsidRDefault="008E65FB" w:rsidP="00DA6DD1">
      <w:pPr>
        <w:pStyle w:val="ListParagraph"/>
        <w:spacing w:line="276" w:lineRule="auto"/>
        <w:rPr>
          <w:bCs/>
          <w:iCs/>
          <w:sz w:val="24"/>
          <w:szCs w:val="24"/>
        </w:rPr>
      </w:pPr>
    </w:p>
    <w:p w14:paraId="027B07B1" w14:textId="77777777" w:rsidR="00DA6DD1" w:rsidRPr="00DA6DD1" w:rsidRDefault="00DA6DD1" w:rsidP="00A11040">
      <w:pPr>
        <w:pStyle w:val="ListParagraph"/>
        <w:numPr>
          <w:ilvl w:val="0"/>
          <w:numId w:val="20"/>
        </w:numPr>
        <w:spacing w:line="276" w:lineRule="auto"/>
        <w:rPr>
          <w:b/>
          <w:sz w:val="24"/>
          <w:szCs w:val="24"/>
        </w:rPr>
      </w:pPr>
      <w:r w:rsidRPr="00DA6DD1">
        <w:rPr>
          <w:b/>
          <w:sz w:val="24"/>
          <w:szCs w:val="24"/>
        </w:rPr>
        <w:t>Cost-to-Charge Ratios</w:t>
      </w:r>
      <w:r w:rsidR="00BE379F">
        <w:rPr>
          <w:b/>
          <w:sz w:val="24"/>
          <w:szCs w:val="24"/>
        </w:rPr>
        <w:t xml:space="preserve"> (CCRs)</w:t>
      </w:r>
    </w:p>
    <w:p w14:paraId="44E2C1DB" w14:textId="56F83CD3" w:rsidR="00DA6DD1" w:rsidRPr="00ED0190" w:rsidRDefault="00DA6DD1" w:rsidP="00DA6DD1">
      <w:pPr>
        <w:pStyle w:val="ListParagraph"/>
        <w:spacing w:line="276" w:lineRule="auto"/>
        <w:rPr>
          <w:sz w:val="24"/>
          <w:szCs w:val="24"/>
        </w:rPr>
      </w:pPr>
      <w:r w:rsidRPr="00CC1785">
        <w:rPr>
          <w:sz w:val="24"/>
          <w:szCs w:val="24"/>
        </w:rPr>
        <w:t xml:space="preserve">Utilize the July </w:t>
      </w:r>
      <w:r w:rsidR="005D3A70">
        <w:rPr>
          <w:sz w:val="24"/>
          <w:szCs w:val="24"/>
        </w:rPr>
        <w:t>2020</w:t>
      </w:r>
      <w:r w:rsidR="005D3A70" w:rsidRPr="00CC1785">
        <w:rPr>
          <w:sz w:val="24"/>
          <w:szCs w:val="24"/>
        </w:rPr>
        <w:t xml:space="preserve"> </w:t>
      </w:r>
      <w:r w:rsidRPr="00CC1785">
        <w:rPr>
          <w:sz w:val="24"/>
          <w:szCs w:val="24"/>
        </w:rPr>
        <w:t xml:space="preserve">hospital cost-to-charge ratios </w:t>
      </w:r>
      <w:r w:rsidR="00D613FB">
        <w:rPr>
          <w:sz w:val="24"/>
          <w:szCs w:val="24"/>
        </w:rPr>
        <w:t>to calculate reimbursement</w:t>
      </w:r>
      <w:r w:rsidR="00255BF5">
        <w:rPr>
          <w:sz w:val="24"/>
          <w:szCs w:val="24"/>
        </w:rPr>
        <w:t>:</w:t>
      </w:r>
    </w:p>
    <w:p w14:paraId="4A33BD03" w14:textId="0C42458B" w:rsidR="00DA6DD1" w:rsidRPr="00255BF5" w:rsidRDefault="00DA6DD1" w:rsidP="00A11040">
      <w:pPr>
        <w:pStyle w:val="ListParagraph"/>
        <w:numPr>
          <w:ilvl w:val="0"/>
          <w:numId w:val="2"/>
        </w:numPr>
        <w:spacing w:after="0" w:line="276" w:lineRule="auto"/>
        <w:rPr>
          <w:sz w:val="24"/>
          <w:szCs w:val="24"/>
        </w:rPr>
      </w:pPr>
      <w:r w:rsidRPr="00255BF5">
        <w:rPr>
          <w:sz w:val="24"/>
          <w:szCs w:val="24"/>
        </w:rPr>
        <w:t xml:space="preserve">Inpatient PSF – </w:t>
      </w:r>
      <w:r w:rsidR="005D3A70" w:rsidRPr="00255BF5">
        <w:rPr>
          <w:sz w:val="24"/>
          <w:szCs w:val="24"/>
        </w:rPr>
        <w:t>INPpsf</w:t>
      </w:r>
      <w:r w:rsidR="005D3A70">
        <w:rPr>
          <w:sz w:val="24"/>
          <w:szCs w:val="24"/>
        </w:rPr>
        <w:t>20</w:t>
      </w:r>
      <w:r w:rsidR="005D3A70" w:rsidRPr="00255BF5">
        <w:rPr>
          <w:sz w:val="24"/>
          <w:szCs w:val="24"/>
        </w:rPr>
        <w:t>07</w:t>
      </w:r>
      <w:r w:rsidRPr="00255BF5">
        <w:rPr>
          <w:sz w:val="24"/>
          <w:szCs w:val="24"/>
        </w:rPr>
        <w:t>.xls</w:t>
      </w:r>
    </w:p>
    <w:p w14:paraId="3DE6ED63" w14:textId="6572A5A2" w:rsidR="00DA6DD1" w:rsidRPr="002D40FA" w:rsidRDefault="00DA6DD1" w:rsidP="00A11040">
      <w:pPr>
        <w:pStyle w:val="ListParagraph"/>
        <w:numPr>
          <w:ilvl w:val="0"/>
          <w:numId w:val="2"/>
        </w:numPr>
        <w:spacing w:after="0" w:line="276" w:lineRule="auto"/>
        <w:rPr>
          <w:sz w:val="24"/>
          <w:szCs w:val="24"/>
        </w:rPr>
      </w:pPr>
      <w:r w:rsidRPr="002D40FA">
        <w:rPr>
          <w:sz w:val="24"/>
          <w:szCs w:val="24"/>
        </w:rPr>
        <w:t xml:space="preserve">Inpatient Rehab PSF – </w:t>
      </w:r>
      <w:r w:rsidR="005D3A70" w:rsidRPr="002D40FA">
        <w:rPr>
          <w:sz w:val="24"/>
          <w:szCs w:val="24"/>
        </w:rPr>
        <w:t>IRFpsf</w:t>
      </w:r>
      <w:r w:rsidR="005D3A70">
        <w:rPr>
          <w:sz w:val="24"/>
          <w:szCs w:val="24"/>
        </w:rPr>
        <w:t>20</w:t>
      </w:r>
      <w:r w:rsidR="005D3A70" w:rsidRPr="002D40FA">
        <w:rPr>
          <w:sz w:val="24"/>
          <w:szCs w:val="24"/>
        </w:rPr>
        <w:t>07</w:t>
      </w:r>
      <w:r w:rsidRPr="002D40FA">
        <w:rPr>
          <w:sz w:val="24"/>
          <w:szCs w:val="24"/>
        </w:rPr>
        <w:t>.xls</w:t>
      </w:r>
    </w:p>
    <w:p w14:paraId="5F2DCBE0" w14:textId="7A492445" w:rsidR="00DA6DD1" w:rsidRPr="002D40FA" w:rsidRDefault="00DA6DD1" w:rsidP="00A11040">
      <w:pPr>
        <w:pStyle w:val="ListParagraph"/>
        <w:numPr>
          <w:ilvl w:val="0"/>
          <w:numId w:val="2"/>
        </w:numPr>
        <w:spacing w:after="0" w:line="276" w:lineRule="auto"/>
        <w:rPr>
          <w:sz w:val="24"/>
          <w:szCs w:val="24"/>
        </w:rPr>
      </w:pPr>
      <w:r w:rsidRPr="002D40FA">
        <w:rPr>
          <w:sz w:val="24"/>
          <w:szCs w:val="24"/>
        </w:rPr>
        <w:t xml:space="preserve">Long Term Care PSF – </w:t>
      </w:r>
      <w:r w:rsidR="005D3A70" w:rsidRPr="002D40FA">
        <w:rPr>
          <w:sz w:val="24"/>
          <w:szCs w:val="24"/>
        </w:rPr>
        <w:t>LTCpsf</w:t>
      </w:r>
      <w:r w:rsidR="005D3A70">
        <w:rPr>
          <w:sz w:val="24"/>
          <w:szCs w:val="24"/>
        </w:rPr>
        <w:t>20</w:t>
      </w:r>
      <w:r w:rsidR="005D3A70" w:rsidRPr="002D40FA">
        <w:rPr>
          <w:sz w:val="24"/>
          <w:szCs w:val="24"/>
        </w:rPr>
        <w:t>07</w:t>
      </w:r>
      <w:r w:rsidRPr="002D40FA">
        <w:rPr>
          <w:sz w:val="24"/>
          <w:szCs w:val="24"/>
        </w:rPr>
        <w:t>.xls</w:t>
      </w:r>
    </w:p>
    <w:p w14:paraId="7AF33334" w14:textId="630164E6" w:rsidR="00DA6DD1" w:rsidRPr="002D40FA" w:rsidRDefault="00DA6DD1" w:rsidP="00A11040">
      <w:pPr>
        <w:pStyle w:val="ListParagraph"/>
        <w:numPr>
          <w:ilvl w:val="0"/>
          <w:numId w:val="2"/>
        </w:numPr>
        <w:spacing w:after="0" w:line="276" w:lineRule="auto"/>
        <w:rPr>
          <w:sz w:val="24"/>
          <w:szCs w:val="24"/>
        </w:rPr>
      </w:pPr>
      <w:r w:rsidRPr="002D40FA">
        <w:rPr>
          <w:sz w:val="24"/>
          <w:szCs w:val="24"/>
        </w:rPr>
        <w:t>Inpatient Psychiatric Facility PSF – IPFpsf</w:t>
      </w:r>
      <w:r w:rsidR="005D3A70">
        <w:rPr>
          <w:sz w:val="24"/>
          <w:szCs w:val="24"/>
        </w:rPr>
        <w:t>20</w:t>
      </w:r>
      <w:r w:rsidRPr="002D40FA">
        <w:rPr>
          <w:sz w:val="24"/>
          <w:szCs w:val="24"/>
        </w:rPr>
        <w:t>07.xls</w:t>
      </w:r>
    </w:p>
    <w:p w14:paraId="5F004222" w14:textId="77777777" w:rsidR="00BE379F" w:rsidRDefault="00BE379F" w:rsidP="00BE379F">
      <w:pPr>
        <w:pStyle w:val="ListParagraph"/>
        <w:rPr>
          <w:sz w:val="24"/>
          <w:szCs w:val="24"/>
        </w:rPr>
      </w:pPr>
    </w:p>
    <w:p w14:paraId="27F5F017" w14:textId="3E77D97F" w:rsidR="00DA6DD1" w:rsidRPr="002D40FA" w:rsidRDefault="00DA6DD1" w:rsidP="00BE379F">
      <w:pPr>
        <w:pStyle w:val="ListParagraph"/>
        <w:rPr>
          <w:sz w:val="24"/>
          <w:szCs w:val="24"/>
        </w:rPr>
      </w:pPr>
      <w:r w:rsidRPr="002D40FA">
        <w:rPr>
          <w:sz w:val="24"/>
          <w:szCs w:val="24"/>
        </w:rPr>
        <w:t>For hospitals doing business with Ohio BWC in the past 18 months, hospital cost-to-charge ratios can be found on BWC’s Web site with OAC 4123-6-37.1 (</w:t>
      </w:r>
      <w:hyperlink r:id="rId32" w:history="1">
        <w:r>
          <w:rPr>
            <w:rStyle w:val="Hyperlink"/>
            <w:rFonts w:cstheme="minorHAnsi"/>
            <w:sz w:val="24"/>
            <w:szCs w:val="24"/>
          </w:rPr>
          <w:t>BWC's inpatient fee schedule</w:t>
        </w:r>
      </w:hyperlink>
      <w:r w:rsidRPr="002D40FA">
        <w:rPr>
          <w:rStyle w:val="Hyperlink"/>
          <w:sz w:val="24"/>
          <w:szCs w:val="24"/>
        </w:rPr>
        <w:t>)</w:t>
      </w:r>
      <w:r w:rsidRPr="002D40FA">
        <w:rPr>
          <w:sz w:val="24"/>
          <w:szCs w:val="24"/>
        </w:rPr>
        <w:t xml:space="preserve">. </w:t>
      </w:r>
      <w:r w:rsidR="008A0C47">
        <w:rPr>
          <w:sz w:val="24"/>
          <w:szCs w:val="24"/>
        </w:rPr>
        <w:t xml:space="preserve"> Identify the appropriate rate year and t</w:t>
      </w:r>
      <w:r w:rsidR="00EF7369">
        <w:rPr>
          <w:sz w:val="24"/>
          <w:szCs w:val="24"/>
        </w:rPr>
        <w:t xml:space="preserve">he document labeled “IPPS – Hospital Cost-to-Charge Ratios.” </w:t>
      </w:r>
      <w:r w:rsidR="00255BF5">
        <w:rPr>
          <w:sz w:val="24"/>
          <w:szCs w:val="24"/>
        </w:rPr>
        <w:t>F</w:t>
      </w:r>
      <w:r w:rsidR="00D613FB">
        <w:rPr>
          <w:sz w:val="24"/>
          <w:szCs w:val="24"/>
        </w:rPr>
        <w:t xml:space="preserve">or hospitals not listed in the document, </w:t>
      </w:r>
      <w:r w:rsidR="00255BF5">
        <w:rPr>
          <w:sz w:val="24"/>
          <w:szCs w:val="24"/>
        </w:rPr>
        <w:t xml:space="preserve">the </w:t>
      </w:r>
      <w:r w:rsidR="00D613FB">
        <w:rPr>
          <w:sz w:val="24"/>
          <w:szCs w:val="24"/>
        </w:rPr>
        <w:t>tab labeled “How to Determine CCRs</w:t>
      </w:r>
      <w:r w:rsidR="00255BF5">
        <w:rPr>
          <w:sz w:val="24"/>
          <w:szCs w:val="24"/>
        </w:rPr>
        <w:t>” in that document provides instructions on identifying their CCRs.</w:t>
      </w:r>
      <w:r w:rsidR="004D3552">
        <w:rPr>
          <w:sz w:val="24"/>
          <w:szCs w:val="24"/>
        </w:rPr>
        <w:t xml:space="preserve"> Also see Methodology 1</w:t>
      </w:r>
      <w:r w:rsidR="008A0C47">
        <w:rPr>
          <w:sz w:val="24"/>
          <w:szCs w:val="24"/>
        </w:rPr>
        <w:t xml:space="preserve"> </w:t>
      </w:r>
      <w:r w:rsidR="004D3552">
        <w:rPr>
          <w:sz w:val="24"/>
          <w:szCs w:val="24"/>
        </w:rPr>
        <w:t>of this document for further information.</w:t>
      </w:r>
    </w:p>
    <w:p w14:paraId="21085EC0" w14:textId="77777777" w:rsidR="00BE379F" w:rsidRDefault="00BE379F" w:rsidP="00BE379F">
      <w:pPr>
        <w:pStyle w:val="ListParagraph"/>
        <w:spacing w:after="0" w:line="276" w:lineRule="auto"/>
        <w:rPr>
          <w:b/>
          <w:sz w:val="24"/>
          <w:szCs w:val="24"/>
        </w:rPr>
      </w:pPr>
    </w:p>
    <w:p w14:paraId="5927AEA9" w14:textId="77777777" w:rsidR="00BE379F" w:rsidRPr="00BE379F" w:rsidRDefault="00BE379F" w:rsidP="00A11040">
      <w:pPr>
        <w:pStyle w:val="ListParagraph"/>
        <w:numPr>
          <w:ilvl w:val="0"/>
          <w:numId w:val="20"/>
        </w:numPr>
        <w:spacing w:after="0" w:line="276" w:lineRule="auto"/>
        <w:rPr>
          <w:b/>
          <w:sz w:val="24"/>
          <w:szCs w:val="24"/>
        </w:rPr>
      </w:pPr>
      <w:r w:rsidRPr="00BE379F">
        <w:rPr>
          <w:b/>
          <w:sz w:val="24"/>
          <w:szCs w:val="24"/>
        </w:rPr>
        <w:t>Hospitals without CCRs</w:t>
      </w:r>
    </w:p>
    <w:p w14:paraId="537B5D7F" w14:textId="665D3B73" w:rsidR="00BE1BB8" w:rsidRDefault="00DA6DD1" w:rsidP="00BE379F">
      <w:pPr>
        <w:pStyle w:val="ListParagraph"/>
        <w:spacing w:after="0" w:line="276" w:lineRule="auto"/>
        <w:rPr>
          <w:sz w:val="24"/>
          <w:szCs w:val="24"/>
        </w:rPr>
      </w:pPr>
      <w:r w:rsidRPr="002D40FA">
        <w:rPr>
          <w:sz w:val="24"/>
          <w:szCs w:val="24"/>
        </w:rPr>
        <w:t xml:space="preserve">For hospitals that did not maintain Medicare CCRs and new hospitals, the Medicare </w:t>
      </w:r>
      <w:r w:rsidR="005D3A70">
        <w:rPr>
          <w:sz w:val="24"/>
          <w:szCs w:val="24"/>
        </w:rPr>
        <w:t>2021</w:t>
      </w:r>
      <w:r w:rsidR="005D3A70" w:rsidRPr="002D40FA">
        <w:rPr>
          <w:sz w:val="24"/>
          <w:szCs w:val="24"/>
        </w:rPr>
        <w:t xml:space="preserve"> </w:t>
      </w:r>
      <w:r w:rsidRPr="002D40FA">
        <w:rPr>
          <w:sz w:val="24"/>
          <w:szCs w:val="24"/>
        </w:rPr>
        <w:t xml:space="preserve">urban or rural statewide average operating CCR is used to calculate reimbursement.  </w:t>
      </w:r>
      <w:r w:rsidR="00255BF5">
        <w:rPr>
          <w:sz w:val="24"/>
          <w:szCs w:val="24"/>
        </w:rPr>
        <w:t>Instructions</w:t>
      </w:r>
      <w:r w:rsidRPr="002D40FA">
        <w:rPr>
          <w:sz w:val="24"/>
          <w:szCs w:val="24"/>
        </w:rPr>
        <w:t xml:space="preserve"> on finding these CCRs can be found on BWC’s Web site with OAC 4123-6-37.1 (</w:t>
      </w:r>
      <w:hyperlink r:id="rId33" w:history="1">
        <w:r w:rsidRPr="002D40FA">
          <w:rPr>
            <w:rStyle w:val="Hyperlink"/>
            <w:sz w:val="24"/>
            <w:szCs w:val="24"/>
          </w:rPr>
          <w:t>IPPS - Determining Hospital Inpatient Cost-to-Charge Ratios</w:t>
        </w:r>
      </w:hyperlink>
      <w:r w:rsidRPr="002D40FA">
        <w:rPr>
          <w:sz w:val="24"/>
          <w:szCs w:val="24"/>
        </w:rPr>
        <w:t>)</w:t>
      </w:r>
      <w:r w:rsidR="005B2624">
        <w:rPr>
          <w:sz w:val="24"/>
          <w:szCs w:val="24"/>
        </w:rPr>
        <w:t xml:space="preserve">.  </w:t>
      </w:r>
      <w:r w:rsidR="005D3A70">
        <w:rPr>
          <w:sz w:val="24"/>
          <w:szCs w:val="24"/>
        </w:rPr>
        <w:t>Also see Methodology 1</w:t>
      </w:r>
      <w:r w:rsidR="008B5C0F">
        <w:rPr>
          <w:sz w:val="24"/>
          <w:szCs w:val="24"/>
        </w:rPr>
        <w:t xml:space="preserve"> </w:t>
      </w:r>
      <w:r w:rsidR="005D3A70">
        <w:rPr>
          <w:sz w:val="24"/>
          <w:szCs w:val="24"/>
        </w:rPr>
        <w:t>of this document for further information.</w:t>
      </w:r>
    </w:p>
    <w:p w14:paraId="32E033EF" w14:textId="77777777" w:rsidR="00BE1BB8" w:rsidRDefault="00BE1BB8" w:rsidP="00BE379F">
      <w:pPr>
        <w:pStyle w:val="ListParagraph"/>
        <w:spacing w:after="0" w:line="276" w:lineRule="auto"/>
        <w:rPr>
          <w:sz w:val="24"/>
          <w:szCs w:val="24"/>
        </w:rPr>
      </w:pPr>
    </w:p>
    <w:p w14:paraId="45347F06" w14:textId="67E04AAA" w:rsidR="00BE1BB8" w:rsidRDefault="005B2624" w:rsidP="00BE379F">
      <w:pPr>
        <w:pStyle w:val="ListParagraph"/>
        <w:spacing w:after="0" w:line="276" w:lineRule="auto"/>
        <w:rPr>
          <w:sz w:val="24"/>
          <w:szCs w:val="24"/>
        </w:rPr>
      </w:pPr>
      <w:r>
        <w:rPr>
          <w:sz w:val="24"/>
          <w:szCs w:val="24"/>
        </w:rPr>
        <w:t xml:space="preserve">For BWC rate year </w:t>
      </w:r>
      <w:r w:rsidR="005D3A70">
        <w:rPr>
          <w:sz w:val="24"/>
          <w:szCs w:val="24"/>
        </w:rPr>
        <w:t>2021</w:t>
      </w:r>
      <w:r w:rsidR="00BE1BB8">
        <w:rPr>
          <w:sz w:val="24"/>
          <w:szCs w:val="24"/>
        </w:rPr>
        <w:t>,</w:t>
      </w:r>
      <w:r>
        <w:rPr>
          <w:sz w:val="24"/>
          <w:szCs w:val="24"/>
        </w:rPr>
        <w:t xml:space="preserve"> for Ohio hospitals, the statewide average CCRs are:</w:t>
      </w:r>
    </w:p>
    <w:p w14:paraId="2A181BC0" w14:textId="229D5AEA" w:rsidR="00BE1BB8" w:rsidRDefault="00BE1BB8" w:rsidP="00BE379F">
      <w:pPr>
        <w:pStyle w:val="ListParagraph"/>
        <w:spacing w:after="0" w:line="276" w:lineRule="auto"/>
        <w:rPr>
          <w:sz w:val="24"/>
          <w:szCs w:val="24"/>
        </w:rPr>
      </w:pPr>
      <w:r>
        <w:rPr>
          <w:sz w:val="24"/>
          <w:szCs w:val="24"/>
        </w:rPr>
        <w:t>Urban: .23</w:t>
      </w:r>
      <w:r w:rsidR="005D3A70">
        <w:rPr>
          <w:sz w:val="24"/>
          <w:szCs w:val="24"/>
        </w:rPr>
        <w:t>1</w:t>
      </w:r>
    </w:p>
    <w:p w14:paraId="3686FC03" w14:textId="09B58B51" w:rsidR="005B2624" w:rsidRDefault="00BE1BB8" w:rsidP="00BE1BB8">
      <w:pPr>
        <w:pStyle w:val="ListParagraph"/>
        <w:spacing w:after="0" w:line="276" w:lineRule="auto"/>
        <w:rPr>
          <w:sz w:val="24"/>
          <w:szCs w:val="24"/>
        </w:rPr>
      </w:pPr>
      <w:r>
        <w:rPr>
          <w:sz w:val="24"/>
          <w:szCs w:val="24"/>
        </w:rPr>
        <w:t>Rural .3</w:t>
      </w:r>
      <w:r w:rsidR="005D3A70">
        <w:rPr>
          <w:sz w:val="24"/>
          <w:szCs w:val="24"/>
        </w:rPr>
        <w:t>44</w:t>
      </w:r>
    </w:p>
    <w:p w14:paraId="6FEDA192" w14:textId="77777777" w:rsidR="00B71860" w:rsidRDefault="00B71860">
      <w:pPr>
        <w:rPr>
          <w:rFonts w:asciiTheme="majorHAnsi" w:eastAsiaTheme="majorEastAsia" w:hAnsiTheme="majorHAnsi" w:cstheme="majorBidi"/>
          <w:b/>
          <w:color w:val="2F5496" w:themeColor="accent1" w:themeShade="BF"/>
          <w:sz w:val="32"/>
          <w:szCs w:val="32"/>
        </w:rPr>
      </w:pPr>
      <w:r>
        <w:rPr>
          <w:b/>
        </w:rPr>
        <w:br w:type="page"/>
      </w:r>
    </w:p>
    <w:p w14:paraId="31F04953" w14:textId="1EEC7267" w:rsidR="008B329B" w:rsidRPr="00D4120F" w:rsidRDefault="008B329B" w:rsidP="008B329B">
      <w:pPr>
        <w:pStyle w:val="Heading1"/>
        <w:spacing w:before="0"/>
        <w:rPr>
          <w:b/>
        </w:rPr>
      </w:pPr>
      <w:bookmarkStart w:id="15" w:name="_Toc56580525"/>
      <w:r w:rsidRPr="00D4120F">
        <w:rPr>
          <w:b/>
        </w:rPr>
        <w:lastRenderedPageBreak/>
        <w:t xml:space="preserve">Methodology 3: </w:t>
      </w:r>
      <w:r w:rsidR="00F828C9" w:rsidRPr="00D4120F">
        <w:rPr>
          <w:b/>
        </w:rPr>
        <w:t>BWC Reimbursement for Hospitals Treating Addiction</w:t>
      </w:r>
      <w:bookmarkEnd w:id="15"/>
      <w:r w:rsidR="00F828C9" w:rsidRPr="00D4120F">
        <w:rPr>
          <w:b/>
        </w:rPr>
        <w:t xml:space="preserve"> </w:t>
      </w:r>
    </w:p>
    <w:p w14:paraId="6A39C240" w14:textId="77777777" w:rsidR="008B329B" w:rsidRPr="008B329B" w:rsidRDefault="008B329B" w:rsidP="008B329B"/>
    <w:tbl>
      <w:tblPr>
        <w:tblW w:w="9360" w:type="dxa"/>
        <w:tblInd w:w="80" w:type="dxa"/>
        <w:tblCellMar>
          <w:left w:w="0" w:type="dxa"/>
          <w:right w:w="0" w:type="dxa"/>
        </w:tblCellMar>
        <w:tblLook w:val="04A0" w:firstRow="1" w:lastRow="0" w:firstColumn="1" w:lastColumn="0" w:noHBand="0" w:noVBand="1"/>
      </w:tblPr>
      <w:tblGrid>
        <w:gridCol w:w="1440"/>
        <w:gridCol w:w="2520"/>
        <w:gridCol w:w="5400"/>
      </w:tblGrid>
      <w:tr w:rsidR="008B329B" w:rsidRPr="00473993" w14:paraId="439EB00F" w14:textId="77777777" w:rsidTr="0083089A">
        <w:trPr>
          <w:trHeight w:val="694"/>
        </w:trPr>
        <w:tc>
          <w:tcPr>
            <w:tcW w:w="1440" w:type="dxa"/>
            <w:tcBorders>
              <w:top w:val="single" w:sz="8" w:space="0" w:color="FFFFFF"/>
              <w:left w:val="single" w:sz="8" w:space="0" w:color="FFFFFF"/>
              <w:bottom w:val="single" w:sz="24" w:space="0" w:color="FFFFFF"/>
              <w:right w:val="single" w:sz="8" w:space="0" w:color="FFFFFF"/>
            </w:tcBorders>
            <w:shd w:val="clear" w:color="auto" w:fill="7AABDE"/>
          </w:tcPr>
          <w:p w14:paraId="44DE0DEE" w14:textId="77777777" w:rsidR="008B329B" w:rsidRPr="00473993" w:rsidRDefault="008B329B" w:rsidP="0083089A">
            <w:pPr>
              <w:spacing w:after="0" w:line="240" w:lineRule="auto"/>
              <w:jc w:val="center"/>
              <w:rPr>
                <w:b/>
                <w:bCs/>
                <w:sz w:val="24"/>
                <w:szCs w:val="24"/>
              </w:rPr>
            </w:pPr>
            <w:r>
              <w:rPr>
                <w:b/>
                <w:bCs/>
                <w:sz w:val="24"/>
                <w:szCs w:val="24"/>
              </w:rPr>
              <w:t>Methodology</w:t>
            </w:r>
          </w:p>
        </w:tc>
        <w:tc>
          <w:tcPr>
            <w:tcW w:w="2520" w:type="dxa"/>
            <w:tcBorders>
              <w:top w:val="single" w:sz="8" w:space="0" w:color="FFFFFF"/>
              <w:left w:val="single" w:sz="8" w:space="0" w:color="FFFFFF"/>
              <w:bottom w:val="single" w:sz="24" w:space="0" w:color="FFFFFF"/>
              <w:right w:val="single" w:sz="8" w:space="0" w:color="FFFFFF"/>
            </w:tcBorders>
            <w:shd w:val="clear" w:color="auto" w:fill="7AABDE"/>
            <w:tcMar>
              <w:top w:w="15" w:type="dxa"/>
              <w:left w:w="15" w:type="dxa"/>
              <w:bottom w:w="0" w:type="dxa"/>
              <w:right w:w="15" w:type="dxa"/>
            </w:tcMar>
            <w:hideMark/>
          </w:tcPr>
          <w:p w14:paraId="15C946E5" w14:textId="77777777" w:rsidR="008B329B" w:rsidRPr="00473993" w:rsidRDefault="008B329B" w:rsidP="0083089A">
            <w:pPr>
              <w:spacing w:after="0" w:line="240" w:lineRule="auto"/>
              <w:jc w:val="center"/>
              <w:rPr>
                <w:sz w:val="24"/>
                <w:szCs w:val="24"/>
              </w:rPr>
            </w:pPr>
            <w:r w:rsidRPr="00473993">
              <w:rPr>
                <w:b/>
                <w:bCs/>
                <w:sz w:val="24"/>
                <w:szCs w:val="24"/>
              </w:rPr>
              <w:t xml:space="preserve">BWC </w:t>
            </w:r>
            <w:r>
              <w:rPr>
                <w:b/>
                <w:bCs/>
                <w:sz w:val="24"/>
                <w:szCs w:val="24"/>
              </w:rPr>
              <w:t xml:space="preserve">Methodology Description </w:t>
            </w:r>
          </w:p>
        </w:tc>
        <w:tc>
          <w:tcPr>
            <w:tcW w:w="5400" w:type="dxa"/>
            <w:tcBorders>
              <w:top w:val="single" w:sz="8" w:space="0" w:color="FFFFFF"/>
              <w:left w:val="single" w:sz="8" w:space="0" w:color="FFFFFF"/>
              <w:bottom w:val="single" w:sz="24" w:space="0" w:color="FFFFFF"/>
              <w:right w:val="single" w:sz="8" w:space="0" w:color="FFFFFF"/>
            </w:tcBorders>
            <w:shd w:val="clear" w:color="auto" w:fill="7AABDE"/>
            <w:tcMar>
              <w:top w:w="15" w:type="dxa"/>
              <w:left w:w="108" w:type="dxa"/>
              <w:bottom w:w="0" w:type="dxa"/>
              <w:right w:w="108" w:type="dxa"/>
            </w:tcMar>
            <w:hideMark/>
          </w:tcPr>
          <w:p w14:paraId="65B17417" w14:textId="77777777" w:rsidR="008B329B" w:rsidRPr="00473993" w:rsidRDefault="008B329B" w:rsidP="0083089A">
            <w:pPr>
              <w:spacing w:after="0" w:line="240" w:lineRule="auto"/>
              <w:jc w:val="center"/>
              <w:rPr>
                <w:sz w:val="24"/>
                <w:szCs w:val="24"/>
              </w:rPr>
            </w:pPr>
            <w:r w:rsidRPr="00473993">
              <w:rPr>
                <w:b/>
                <w:bCs/>
                <w:sz w:val="24"/>
                <w:szCs w:val="24"/>
              </w:rPr>
              <w:t>BWC Enrollment Type and</w:t>
            </w:r>
          </w:p>
          <w:p w14:paraId="63BF7955" w14:textId="77777777" w:rsidR="008B329B" w:rsidRPr="00473993" w:rsidRDefault="008B329B" w:rsidP="0083089A">
            <w:pPr>
              <w:spacing w:after="0" w:line="240" w:lineRule="auto"/>
              <w:jc w:val="center"/>
              <w:rPr>
                <w:sz w:val="24"/>
                <w:szCs w:val="24"/>
              </w:rPr>
            </w:pPr>
            <w:r w:rsidRPr="00473993">
              <w:rPr>
                <w:b/>
                <w:bCs/>
                <w:sz w:val="24"/>
                <w:szCs w:val="24"/>
              </w:rPr>
              <w:t>Medicare IPPS Status</w:t>
            </w:r>
          </w:p>
        </w:tc>
      </w:tr>
      <w:tr w:rsidR="008B329B" w:rsidRPr="00473993" w14:paraId="40B36DE1" w14:textId="77777777" w:rsidTr="0083089A">
        <w:trPr>
          <w:trHeight w:val="496"/>
        </w:trPr>
        <w:tc>
          <w:tcPr>
            <w:tcW w:w="1440" w:type="dxa"/>
            <w:tcBorders>
              <w:top w:val="single" w:sz="8" w:space="0" w:color="FFFFFF"/>
              <w:left w:val="single" w:sz="8" w:space="0" w:color="FFFFFF"/>
              <w:bottom w:val="single" w:sz="8" w:space="0" w:color="FFFFFF"/>
              <w:right w:val="single" w:sz="8" w:space="0" w:color="FFFFFF"/>
            </w:tcBorders>
            <w:shd w:val="clear" w:color="auto" w:fill="CADDF2"/>
          </w:tcPr>
          <w:p w14:paraId="39D504CB" w14:textId="77777777" w:rsidR="008B329B" w:rsidRPr="00473993" w:rsidRDefault="008B329B" w:rsidP="0083089A">
            <w:pPr>
              <w:spacing w:after="0" w:line="240" w:lineRule="auto"/>
              <w:jc w:val="center"/>
              <w:rPr>
                <w:sz w:val="24"/>
                <w:szCs w:val="24"/>
              </w:rPr>
            </w:pPr>
            <w:r>
              <w:rPr>
                <w:sz w:val="24"/>
                <w:szCs w:val="24"/>
              </w:rPr>
              <w:t>3</w:t>
            </w:r>
          </w:p>
        </w:tc>
        <w:tc>
          <w:tcPr>
            <w:tcW w:w="2520" w:type="dxa"/>
            <w:tcBorders>
              <w:top w:val="single" w:sz="8" w:space="0" w:color="FFFFFF"/>
              <w:left w:val="single" w:sz="8" w:space="0" w:color="FFFFFF"/>
              <w:bottom w:val="single" w:sz="8" w:space="0" w:color="FFFFFF"/>
              <w:right w:val="single" w:sz="8" w:space="0" w:color="FFFFFF"/>
            </w:tcBorders>
            <w:shd w:val="clear" w:color="auto" w:fill="CADDF2"/>
            <w:tcMar>
              <w:top w:w="15" w:type="dxa"/>
              <w:left w:w="15" w:type="dxa"/>
              <w:bottom w:w="0" w:type="dxa"/>
              <w:right w:w="15" w:type="dxa"/>
            </w:tcMar>
            <w:hideMark/>
          </w:tcPr>
          <w:p w14:paraId="3C25B551" w14:textId="77777777" w:rsidR="008B329B" w:rsidRPr="00473993" w:rsidRDefault="008B329B" w:rsidP="0083089A">
            <w:pPr>
              <w:spacing w:after="0" w:line="240" w:lineRule="auto"/>
              <w:rPr>
                <w:sz w:val="24"/>
                <w:szCs w:val="24"/>
              </w:rPr>
            </w:pPr>
            <w:r w:rsidRPr="00473993">
              <w:rPr>
                <w:sz w:val="24"/>
                <w:szCs w:val="24"/>
              </w:rPr>
              <w:t>All-inclusive per diem payment</w:t>
            </w:r>
          </w:p>
        </w:tc>
        <w:tc>
          <w:tcPr>
            <w:tcW w:w="5400" w:type="dxa"/>
            <w:tcBorders>
              <w:top w:val="single" w:sz="8" w:space="0" w:color="FFFFFF"/>
              <w:left w:val="single" w:sz="8" w:space="0" w:color="FFFFFF"/>
              <w:bottom w:val="single" w:sz="8" w:space="0" w:color="FFFFFF"/>
              <w:right w:val="single" w:sz="8" w:space="0" w:color="FFFFFF"/>
            </w:tcBorders>
            <w:shd w:val="clear" w:color="auto" w:fill="CADDF2"/>
            <w:tcMar>
              <w:top w:w="15" w:type="dxa"/>
              <w:left w:w="108" w:type="dxa"/>
              <w:bottom w:w="0" w:type="dxa"/>
              <w:right w:w="108" w:type="dxa"/>
            </w:tcMar>
            <w:hideMark/>
          </w:tcPr>
          <w:p w14:paraId="0DA9A88A" w14:textId="77777777" w:rsidR="008B329B" w:rsidRPr="00473993" w:rsidRDefault="008B329B" w:rsidP="0083089A">
            <w:pPr>
              <w:spacing w:after="0" w:line="240" w:lineRule="auto"/>
              <w:rPr>
                <w:sz w:val="24"/>
                <w:szCs w:val="24"/>
              </w:rPr>
            </w:pPr>
            <w:r w:rsidRPr="00473993">
              <w:rPr>
                <w:sz w:val="24"/>
                <w:szCs w:val="24"/>
              </w:rPr>
              <w:t>Type 35 – Detox hospital</w:t>
            </w:r>
          </w:p>
        </w:tc>
      </w:tr>
    </w:tbl>
    <w:p w14:paraId="3E8B2FF9" w14:textId="77777777" w:rsidR="008B329B" w:rsidRDefault="008B329B" w:rsidP="008B329B">
      <w:pPr>
        <w:pStyle w:val="Heading2"/>
        <w:spacing w:before="0"/>
      </w:pPr>
    </w:p>
    <w:p w14:paraId="7CBC381F" w14:textId="77777777" w:rsidR="008B329B" w:rsidRPr="005D57AE" w:rsidRDefault="008C519E" w:rsidP="008C519E">
      <w:pPr>
        <w:pStyle w:val="Heading2"/>
        <w:spacing w:before="0"/>
      </w:pPr>
      <w:bookmarkStart w:id="16" w:name="_Toc56580526"/>
      <w:r w:rsidRPr="008C519E">
        <w:t>A.</w:t>
      </w:r>
      <w:r>
        <w:t xml:space="preserve"> </w:t>
      </w:r>
      <w:r w:rsidR="008B329B">
        <w:t>Background</w:t>
      </w:r>
      <w:bookmarkEnd w:id="16"/>
    </w:p>
    <w:p w14:paraId="5BC20734" w14:textId="08F207F6" w:rsidR="008B329B" w:rsidRDefault="00922B31" w:rsidP="008B329B">
      <w:pPr>
        <w:rPr>
          <w:sz w:val="24"/>
          <w:szCs w:val="24"/>
        </w:rPr>
      </w:pPr>
      <w:hyperlink r:id="rId34" w:history="1">
        <w:r w:rsidR="008E15A1">
          <w:rPr>
            <w:rStyle w:val="Hyperlink"/>
            <w:sz w:val="24"/>
            <w:szCs w:val="24"/>
          </w:rPr>
          <w:t>OAC 4123-6-21.7</w:t>
        </w:r>
      </w:hyperlink>
      <w:r w:rsidR="00FC660F" w:rsidRPr="00FC660F">
        <w:rPr>
          <w:i/>
          <w:iCs/>
          <w:sz w:val="24"/>
          <w:szCs w:val="24"/>
        </w:rPr>
        <w:t xml:space="preserve">, Utilization of opioids in the subacute or chronic phases of pain treatment for a work-related injury or occupational disease, </w:t>
      </w:r>
      <w:r w:rsidR="00FC660F" w:rsidRPr="00FC660F">
        <w:rPr>
          <w:sz w:val="24"/>
          <w:szCs w:val="24"/>
        </w:rPr>
        <w:t xml:space="preserve">became effective in October 2016.  The rule permits reimbursement for detoxification treatment for opioid use disorder for an injured worker for eighteen months without having opioid use disorder allowed in the claim. Treatment may include </w:t>
      </w:r>
      <w:r w:rsidR="00DB66B3">
        <w:rPr>
          <w:sz w:val="24"/>
          <w:szCs w:val="24"/>
        </w:rPr>
        <w:t>a limited duration of</w:t>
      </w:r>
      <w:r w:rsidR="00FC660F" w:rsidRPr="00FC660F">
        <w:rPr>
          <w:sz w:val="24"/>
          <w:szCs w:val="24"/>
        </w:rPr>
        <w:t xml:space="preserve"> inpatient treatment during </w:t>
      </w:r>
      <w:r w:rsidR="00DB66B3">
        <w:rPr>
          <w:sz w:val="24"/>
          <w:szCs w:val="24"/>
        </w:rPr>
        <w:t>a specific timeframe as detailed in the rule.</w:t>
      </w:r>
      <w:r w:rsidR="00811CED">
        <w:rPr>
          <w:sz w:val="24"/>
          <w:szCs w:val="24"/>
        </w:rPr>
        <w:t xml:space="preserve"> A companion policy</w:t>
      </w:r>
      <w:r w:rsidR="00CD66AA">
        <w:rPr>
          <w:sz w:val="24"/>
          <w:szCs w:val="24"/>
        </w:rPr>
        <w:t xml:space="preserve"> details additional limitations of this rule. The policy</w:t>
      </w:r>
      <w:r w:rsidR="00811CED">
        <w:rPr>
          <w:sz w:val="24"/>
          <w:szCs w:val="24"/>
        </w:rPr>
        <w:t xml:space="preserve"> can be found on BWC’s Web site under </w:t>
      </w:r>
      <w:hyperlink r:id="rId35" w:history="1">
        <w:r w:rsidR="002B4382">
          <w:rPr>
            <w:rStyle w:val="Hyperlink"/>
            <w:sz w:val="24"/>
            <w:szCs w:val="24"/>
          </w:rPr>
          <w:t>Provider Billing and Reimbursement Manual</w:t>
        </w:r>
      </w:hyperlink>
      <w:r w:rsidR="00811CED">
        <w:rPr>
          <w:sz w:val="24"/>
          <w:szCs w:val="24"/>
        </w:rPr>
        <w:t>,</w:t>
      </w:r>
      <w:r w:rsidR="002B4382">
        <w:rPr>
          <w:sz w:val="24"/>
          <w:szCs w:val="24"/>
        </w:rPr>
        <w:t xml:space="preserve"> New/Revised/Updated Policies. The policy is titled</w:t>
      </w:r>
      <w:r w:rsidR="00811CED">
        <w:rPr>
          <w:sz w:val="24"/>
          <w:szCs w:val="24"/>
        </w:rPr>
        <w:t xml:space="preserve"> BRM-07 </w:t>
      </w:r>
      <w:r w:rsidR="00811CED" w:rsidRPr="00811CED">
        <w:rPr>
          <w:i/>
          <w:iCs/>
          <w:sz w:val="24"/>
          <w:szCs w:val="24"/>
        </w:rPr>
        <w:t>Opioid Use Disorder Treatment Coverage</w:t>
      </w:r>
      <w:r w:rsidR="002B4382">
        <w:rPr>
          <w:sz w:val="24"/>
          <w:szCs w:val="24"/>
        </w:rPr>
        <w:t>.</w:t>
      </w:r>
    </w:p>
    <w:p w14:paraId="3D9B3F2A" w14:textId="77777777" w:rsidR="00191DBC" w:rsidRDefault="00D4120F" w:rsidP="00191DBC">
      <w:pPr>
        <w:rPr>
          <w:sz w:val="24"/>
        </w:rPr>
      </w:pPr>
      <w:r>
        <w:rPr>
          <w:sz w:val="24"/>
        </w:rPr>
        <w:t>When the</w:t>
      </w:r>
      <w:r w:rsidR="00191DBC">
        <w:rPr>
          <w:sz w:val="24"/>
        </w:rPr>
        <w:t xml:space="preserve"> rule</w:t>
      </w:r>
      <w:r>
        <w:rPr>
          <w:sz w:val="24"/>
        </w:rPr>
        <w:t xml:space="preserve"> was under development</w:t>
      </w:r>
      <w:r w:rsidR="00191DBC" w:rsidRPr="00994308">
        <w:rPr>
          <w:sz w:val="24"/>
        </w:rPr>
        <w:t xml:space="preserve">, several hospitals requested an all-inclusive per diem rate instead of the existing IPPS or IPPS exempt rates.  BWC honored the hospitals’ requests and developed provider type 35 for detox per diem services. </w:t>
      </w:r>
      <w:r w:rsidR="00191DBC">
        <w:rPr>
          <w:sz w:val="24"/>
        </w:rPr>
        <w:t xml:space="preserve"> The per diem rates were developed with hospital input.</w:t>
      </w:r>
    </w:p>
    <w:p w14:paraId="07D30FF8" w14:textId="77777777" w:rsidR="00191DBC" w:rsidRDefault="00191DBC" w:rsidP="00191DBC">
      <w:pPr>
        <w:rPr>
          <w:sz w:val="24"/>
        </w:rPr>
      </w:pPr>
      <w:r>
        <w:rPr>
          <w:sz w:val="24"/>
        </w:rPr>
        <w:t>For these</w:t>
      </w:r>
      <w:r w:rsidRPr="00994308">
        <w:rPr>
          <w:sz w:val="24"/>
        </w:rPr>
        <w:t xml:space="preserve"> inpatient detox services, hospitals </w:t>
      </w:r>
      <w:r>
        <w:rPr>
          <w:sz w:val="24"/>
        </w:rPr>
        <w:t>may opt to be paid under any of BWC’s three methodologies for inpatient services. The methodology used to calculate payment is determined by the BWC provider type and IPPS eligible or IPPS exempt status detailed in the Overview of Reimbursement Methodologies section of this document.</w:t>
      </w:r>
    </w:p>
    <w:p w14:paraId="47184B2D" w14:textId="77777777" w:rsidR="00191DBC" w:rsidRDefault="00191DBC" w:rsidP="00DC1488">
      <w:pPr>
        <w:spacing w:after="0"/>
        <w:rPr>
          <w:sz w:val="24"/>
        </w:rPr>
      </w:pPr>
      <w:r w:rsidRPr="00994308">
        <w:rPr>
          <w:sz w:val="24"/>
        </w:rPr>
        <w:t xml:space="preserve">Facilities opting for the per diem rate must enroll as a provider type 35 and report the revenue codes listed on </w:t>
      </w:r>
      <w:r>
        <w:rPr>
          <w:sz w:val="24"/>
        </w:rPr>
        <w:t xml:space="preserve">in Table 1 </w:t>
      </w:r>
      <w:r w:rsidR="00165AF8">
        <w:rPr>
          <w:sz w:val="24"/>
        </w:rPr>
        <w:t xml:space="preserve">(below) in </w:t>
      </w:r>
      <w:r>
        <w:rPr>
          <w:sz w:val="24"/>
        </w:rPr>
        <w:t>the Appendix of OAC 4123-6-37.1.</w:t>
      </w:r>
    </w:p>
    <w:p w14:paraId="0A08CC07" w14:textId="77777777" w:rsidR="00DC1488" w:rsidRDefault="00DC1488" w:rsidP="00DC1488">
      <w:pPr>
        <w:spacing w:after="0"/>
        <w:rPr>
          <w:sz w:val="24"/>
        </w:rPr>
      </w:pPr>
    </w:p>
    <w:tbl>
      <w:tblPr>
        <w:tblW w:w="8620" w:type="dxa"/>
        <w:tblLook w:val="04A0" w:firstRow="1" w:lastRow="0" w:firstColumn="1" w:lastColumn="0" w:noHBand="0" w:noVBand="1"/>
      </w:tblPr>
      <w:tblGrid>
        <w:gridCol w:w="4920"/>
        <w:gridCol w:w="2140"/>
        <w:gridCol w:w="1560"/>
      </w:tblGrid>
      <w:tr w:rsidR="00191DBC" w:rsidRPr="00191DBC" w14:paraId="0282F2E9" w14:textId="77777777" w:rsidTr="00191DBC">
        <w:trPr>
          <w:trHeight w:val="288"/>
        </w:trPr>
        <w:tc>
          <w:tcPr>
            <w:tcW w:w="49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E87D162" w14:textId="77777777" w:rsidR="00191DBC" w:rsidRPr="00191DBC" w:rsidRDefault="00191DBC" w:rsidP="00DC1488">
            <w:pPr>
              <w:spacing w:after="0" w:line="240" w:lineRule="auto"/>
              <w:jc w:val="center"/>
              <w:rPr>
                <w:rFonts w:ascii="Calibri" w:eastAsia="Times New Roman" w:hAnsi="Calibri" w:cs="Calibri"/>
                <w:b/>
                <w:bCs/>
                <w:color w:val="000000"/>
                <w:sz w:val="24"/>
                <w:szCs w:val="24"/>
              </w:rPr>
            </w:pPr>
            <w:r w:rsidRPr="00191DBC">
              <w:rPr>
                <w:rFonts w:ascii="Calibri" w:eastAsia="Times New Roman" w:hAnsi="Calibri" w:cs="Calibri"/>
                <w:b/>
                <w:bCs/>
                <w:color w:val="000000"/>
                <w:sz w:val="24"/>
                <w:szCs w:val="24"/>
              </w:rPr>
              <w:t>Service</w:t>
            </w:r>
          </w:p>
        </w:tc>
        <w:tc>
          <w:tcPr>
            <w:tcW w:w="2140" w:type="dxa"/>
            <w:tcBorders>
              <w:top w:val="single" w:sz="4" w:space="0" w:color="auto"/>
              <w:left w:val="nil"/>
              <w:bottom w:val="single" w:sz="4" w:space="0" w:color="auto"/>
              <w:right w:val="single" w:sz="4" w:space="0" w:color="auto"/>
            </w:tcBorders>
            <w:shd w:val="clear" w:color="000000" w:fill="B8CCE4"/>
            <w:vAlign w:val="center"/>
            <w:hideMark/>
          </w:tcPr>
          <w:p w14:paraId="0B784FDB" w14:textId="77777777" w:rsidR="00191DBC" w:rsidRPr="00191DBC" w:rsidRDefault="00191DBC" w:rsidP="00DC1488">
            <w:pPr>
              <w:spacing w:after="0" w:line="240" w:lineRule="auto"/>
              <w:jc w:val="center"/>
              <w:rPr>
                <w:rFonts w:ascii="Calibri" w:eastAsia="Times New Roman" w:hAnsi="Calibri" w:cs="Calibri"/>
                <w:b/>
                <w:bCs/>
                <w:color w:val="000000"/>
                <w:sz w:val="24"/>
                <w:szCs w:val="24"/>
              </w:rPr>
            </w:pPr>
            <w:r w:rsidRPr="00191DBC">
              <w:rPr>
                <w:rFonts w:ascii="Calibri" w:eastAsia="Times New Roman" w:hAnsi="Calibri" w:cs="Calibri"/>
                <w:b/>
                <w:bCs/>
                <w:color w:val="000000"/>
                <w:sz w:val="24"/>
                <w:szCs w:val="24"/>
              </w:rPr>
              <w:t>Revenue Code</w:t>
            </w:r>
          </w:p>
        </w:tc>
        <w:tc>
          <w:tcPr>
            <w:tcW w:w="1560" w:type="dxa"/>
            <w:tcBorders>
              <w:top w:val="single" w:sz="4" w:space="0" w:color="auto"/>
              <w:left w:val="nil"/>
              <w:bottom w:val="single" w:sz="4" w:space="0" w:color="auto"/>
              <w:right w:val="single" w:sz="4" w:space="0" w:color="auto"/>
            </w:tcBorders>
            <w:shd w:val="clear" w:color="000000" w:fill="B8CCE4"/>
            <w:vAlign w:val="center"/>
            <w:hideMark/>
          </w:tcPr>
          <w:p w14:paraId="219C4154" w14:textId="77777777" w:rsidR="00191DBC" w:rsidRPr="00191DBC" w:rsidRDefault="00191DBC" w:rsidP="00DC1488">
            <w:pPr>
              <w:spacing w:after="0" w:line="240" w:lineRule="auto"/>
              <w:jc w:val="center"/>
              <w:rPr>
                <w:rFonts w:ascii="Calibri" w:eastAsia="Times New Roman" w:hAnsi="Calibri" w:cs="Calibri"/>
                <w:b/>
                <w:bCs/>
                <w:color w:val="000000"/>
                <w:sz w:val="24"/>
                <w:szCs w:val="24"/>
              </w:rPr>
            </w:pPr>
            <w:r w:rsidRPr="00191DBC">
              <w:rPr>
                <w:rFonts w:ascii="Calibri" w:eastAsia="Times New Roman" w:hAnsi="Calibri" w:cs="Calibri"/>
                <w:b/>
                <w:bCs/>
                <w:color w:val="000000"/>
                <w:sz w:val="24"/>
                <w:szCs w:val="24"/>
              </w:rPr>
              <w:t>Per Diem Rate</w:t>
            </w:r>
          </w:p>
        </w:tc>
      </w:tr>
      <w:tr w:rsidR="00191DBC" w:rsidRPr="00191DBC" w14:paraId="283E31E8" w14:textId="77777777" w:rsidTr="00191DBC">
        <w:trPr>
          <w:trHeight w:val="288"/>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4AD7B61" w14:textId="77777777" w:rsidR="00191DBC" w:rsidRPr="00191DBC" w:rsidRDefault="00191DBC" w:rsidP="00DC1488">
            <w:pPr>
              <w:spacing w:after="0" w:line="240" w:lineRule="auto"/>
              <w:rPr>
                <w:rFonts w:ascii="Calibri" w:eastAsia="Times New Roman" w:hAnsi="Calibri" w:cs="Calibri"/>
                <w:color w:val="000000"/>
                <w:sz w:val="24"/>
                <w:szCs w:val="24"/>
              </w:rPr>
            </w:pPr>
            <w:r w:rsidRPr="00191DBC">
              <w:rPr>
                <w:rFonts w:ascii="Calibri" w:eastAsia="Times New Roman" w:hAnsi="Calibri" w:cs="Calibri"/>
                <w:color w:val="000000"/>
                <w:sz w:val="24"/>
                <w:szCs w:val="24"/>
              </w:rPr>
              <w:t xml:space="preserve">Acute inpatient detoxification services </w:t>
            </w:r>
          </w:p>
        </w:tc>
        <w:tc>
          <w:tcPr>
            <w:tcW w:w="2140" w:type="dxa"/>
            <w:tcBorders>
              <w:top w:val="nil"/>
              <w:left w:val="nil"/>
              <w:bottom w:val="single" w:sz="4" w:space="0" w:color="auto"/>
              <w:right w:val="single" w:sz="4" w:space="0" w:color="auto"/>
            </w:tcBorders>
            <w:shd w:val="clear" w:color="auto" w:fill="auto"/>
            <w:noWrap/>
            <w:vAlign w:val="bottom"/>
            <w:hideMark/>
          </w:tcPr>
          <w:p w14:paraId="3E6334EC" w14:textId="77777777" w:rsidR="00191DBC" w:rsidRPr="00191DBC" w:rsidRDefault="00191DBC" w:rsidP="00DC1488">
            <w:pPr>
              <w:spacing w:after="0" w:line="240" w:lineRule="auto"/>
              <w:jc w:val="center"/>
              <w:rPr>
                <w:rFonts w:ascii="Calibri" w:eastAsia="Times New Roman" w:hAnsi="Calibri" w:cs="Calibri"/>
                <w:color w:val="000000"/>
                <w:sz w:val="24"/>
                <w:szCs w:val="24"/>
              </w:rPr>
            </w:pPr>
            <w:r w:rsidRPr="00191DBC">
              <w:rPr>
                <w:rFonts w:ascii="Calibri" w:eastAsia="Times New Roman" w:hAnsi="Calibri" w:cs="Calibri"/>
                <w:color w:val="000000"/>
                <w:sz w:val="24"/>
                <w:szCs w:val="24"/>
              </w:rPr>
              <w:t>0126</w:t>
            </w:r>
          </w:p>
        </w:tc>
        <w:tc>
          <w:tcPr>
            <w:tcW w:w="1560" w:type="dxa"/>
            <w:tcBorders>
              <w:top w:val="nil"/>
              <w:left w:val="nil"/>
              <w:bottom w:val="single" w:sz="4" w:space="0" w:color="auto"/>
              <w:right w:val="single" w:sz="4" w:space="0" w:color="auto"/>
            </w:tcBorders>
            <w:shd w:val="clear" w:color="auto" w:fill="auto"/>
            <w:noWrap/>
            <w:vAlign w:val="bottom"/>
            <w:hideMark/>
          </w:tcPr>
          <w:p w14:paraId="7EF215E0" w14:textId="77777777" w:rsidR="00191DBC" w:rsidRPr="00191DBC" w:rsidRDefault="00191DBC" w:rsidP="00DC1488">
            <w:pPr>
              <w:spacing w:after="0" w:line="240" w:lineRule="auto"/>
              <w:jc w:val="center"/>
              <w:rPr>
                <w:rFonts w:ascii="Calibri" w:eastAsia="Times New Roman" w:hAnsi="Calibri" w:cs="Calibri"/>
                <w:color w:val="000000"/>
                <w:sz w:val="24"/>
                <w:szCs w:val="24"/>
              </w:rPr>
            </w:pPr>
            <w:r w:rsidRPr="00191DBC">
              <w:rPr>
                <w:rFonts w:ascii="Calibri" w:eastAsia="Times New Roman" w:hAnsi="Calibri" w:cs="Calibri"/>
                <w:color w:val="000000"/>
                <w:sz w:val="24"/>
                <w:szCs w:val="24"/>
              </w:rPr>
              <w:t xml:space="preserve">$786 </w:t>
            </w:r>
          </w:p>
        </w:tc>
      </w:tr>
      <w:tr w:rsidR="00191DBC" w:rsidRPr="00191DBC" w14:paraId="48EBF35A" w14:textId="77777777" w:rsidTr="00191DBC">
        <w:trPr>
          <w:trHeight w:val="396"/>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750D4AC0" w14:textId="77777777" w:rsidR="00191DBC" w:rsidRPr="00191DBC" w:rsidRDefault="00191DBC" w:rsidP="00DC1488">
            <w:pPr>
              <w:spacing w:after="0" w:line="240" w:lineRule="auto"/>
              <w:rPr>
                <w:rFonts w:ascii="Calibri" w:eastAsia="Times New Roman" w:hAnsi="Calibri" w:cs="Calibri"/>
                <w:color w:val="000000"/>
                <w:sz w:val="24"/>
                <w:szCs w:val="24"/>
              </w:rPr>
            </w:pPr>
            <w:r w:rsidRPr="00191DBC">
              <w:rPr>
                <w:rFonts w:ascii="Calibri" w:eastAsia="Times New Roman" w:hAnsi="Calibri" w:cs="Calibri"/>
                <w:color w:val="000000"/>
                <w:sz w:val="24"/>
                <w:szCs w:val="24"/>
              </w:rPr>
              <w:t>Subacute inpatient detoxification services</w:t>
            </w:r>
          </w:p>
        </w:tc>
        <w:tc>
          <w:tcPr>
            <w:tcW w:w="2140" w:type="dxa"/>
            <w:tcBorders>
              <w:top w:val="nil"/>
              <w:left w:val="nil"/>
              <w:bottom w:val="single" w:sz="4" w:space="0" w:color="auto"/>
              <w:right w:val="single" w:sz="4" w:space="0" w:color="auto"/>
            </w:tcBorders>
            <w:shd w:val="clear" w:color="auto" w:fill="auto"/>
            <w:vAlign w:val="center"/>
            <w:hideMark/>
          </w:tcPr>
          <w:p w14:paraId="19F98DCE" w14:textId="77777777" w:rsidR="00191DBC" w:rsidRPr="00191DBC" w:rsidRDefault="00191DBC" w:rsidP="00DC1488">
            <w:pPr>
              <w:spacing w:after="0" w:line="240" w:lineRule="auto"/>
              <w:jc w:val="center"/>
              <w:rPr>
                <w:rFonts w:ascii="Calibri" w:eastAsia="Times New Roman" w:hAnsi="Calibri" w:cs="Calibri"/>
                <w:color w:val="000000"/>
                <w:sz w:val="24"/>
                <w:szCs w:val="24"/>
              </w:rPr>
            </w:pPr>
            <w:r w:rsidRPr="00191DBC">
              <w:rPr>
                <w:rFonts w:ascii="Calibri" w:eastAsia="Times New Roman" w:hAnsi="Calibri" w:cs="Calibri"/>
                <w:color w:val="000000"/>
                <w:sz w:val="24"/>
                <w:szCs w:val="24"/>
              </w:rPr>
              <w:t>1002</w:t>
            </w:r>
          </w:p>
        </w:tc>
        <w:tc>
          <w:tcPr>
            <w:tcW w:w="1560" w:type="dxa"/>
            <w:tcBorders>
              <w:top w:val="nil"/>
              <w:left w:val="nil"/>
              <w:bottom w:val="single" w:sz="4" w:space="0" w:color="auto"/>
              <w:right w:val="single" w:sz="4" w:space="0" w:color="auto"/>
            </w:tcBorders>
            <w:shd w:val="clear" w:color="auto" w:fill="auto"/>
            <w:vAlign w:val="center"/>
            <w:hideMark/>
          </w:tcPr>
          <w:p w14:paraId="15C1DA9A" w14:textId="77777777" w:rsidR="00191DBC" w:rsidRPr="00191DBC" w:rsidRDefault="00191DBC" w:rsidP="00DC1488">
            <w:pPr>
              <w:spacing w:after="0" w:line="240" w:lineRule="auto"/>
              <w:jc w:val="center"/>
              <w:rPr>
                <w:rFonts w:ascii="Calibri" w:eastAsia="Times New Roman" w:hAnsi="Calibri" w:cs="Calibri"/>
                <w:color w:val="000000"/>
                <w:sz w:val="24"/>
                <w:szCs w:val="24"/>
              </w:rPr>
            </w:pPr>
            <w:r w:rsidRPr="00191DBC">
              <w:rPr>
                <w:rFonts w:ascii="Calibri" w:eastAsia="Times New Roman" w:hAnsi="Calibri" w:cs="Calibri"/>
                <w:color w:val="000000"/>
                <w:sz w:val="24"/>
                <w:szCs w:val="24"/>
              </w:rPr>
              <w:t xml:space="preserve">$597 </w:t>
            </w:r>
          </w:p>
        </w:tc>
      </w:tr>
    </w:tbl>
    <w:p w14:paraId="1EE3A062" w14:textId="77777777" w:rsidR="00191DBC" w:rsidRPr="00994308" w:rsidRDefault="00191DBC" w:rsidP="00DC1488">
      <w:pPr>
        <w:spacing w:after="0"/>
        <w:rPr>
          <w:sz w:val="24"/>
        </w:rPr>
      </w:pPr>
    </w:p>
    <w:p w14:paraId="1D8C9D88" w14:textId="77777777" w:rsidR="00191DBC" w:rsidRPr="00FC660F" w:rsidRDefault="008C519E" w:rsidP="00DC1488">
      <w:pPr>
        <w:pStyle w:val="Heading2"/>
        <w:spacing w:before="0"/>
      </w:pPr>
      <w:bookmarkStart w:id="17" w:name="_Toc56580527"/>
      <w:r>
        <w:t xml:space="preserve">B. </w:t>
      </w:r>
      <w:r w:rsidR="00191DBC">
        <w:t>Calculating Reimbursement</w:t>
      </w:r>
      <w:bookmarkEnd w:id="17"/>
    </w:p>
    <w:p w14:paraId="36841A49" w14:textId="77777777" w:rsidR="00D4120F" w:rsidRDefault="00191DBC" w:rsidP="00D4120F">
      <w:pPr>
        <w:spacing w:after="200" w:line="276" w:lineRule="auto"/>
        <w:rPr>
          <w:sz w:val="24"/>
          <w:szCs w:val="24"/>
        </w:rPr>
      </w:pPr>
      <w:r w:rsidRPr="00D4120F">
        <w:rPr>
          <w:sz w:val="24"/>
          <w:szCs w:val="24"/>
        </w:rPr>
        <w:t>Reimbursement is calculated by multiplying the per diem rate by the number of</w:t>
      </w:r>
      <w:r w:rsidR="00DB66B3" w:rsidRPr="00D4120F">
        <w:rPr>
          <w:sz w:val="24"/>
          <w:szCs w:val="24"/>
        </w:rPr>
        <w:t xml:space="preserve"> allowed</w:t>
      </w:r>
      <w:r w:rsidRPr="00D4120F">
        <w:rPr>
          <w:sz w:val="24"/>
          <w:szCs w:val="24"/>
        </w:rPr>
        <w:t xml:space="preserve"> </w:t>
      </w:r>
      <w:r w:rsidR="00DB66B3" w:rsidRPr="00D4120F">
        <w:rPr>
          <w:sz w:val="24"/>
          <w:szCs w:val="24"/>
        </w:rPr>
        <w:t xml:space="preserve">inpatient days.  </w:t>
      </w:r>
      <w:r w:rsidR="00D4120F" w:rsidRPr="00D4120F">
        <w:rPr>
          <w:sz w:val="24"/>
          <w:szCs w:val="24"/>
        </w:rPr>
        <w:t xml:space="preserve">Per diem rates are all-inclusive for all facility services.  </w:t>
      </w:r>
      <w:r w:rsidR="00DB66B3" w:rsidRPr="00D4120F">
        <w:rPr>
          <w:sz w:val="24"/>
          <w:szCs w:val="24"/>
        </w:rPr>
        <w:t xml:space="preserve">Reimbursement is made at the lesser of the total charges or the total calculated per diem payment. </w:t>
      </w:r>
      <w:r w:rsidR="00D4120F" w:rsidRPr="00D4120F">
        <w:rPr>
          <w:sz w:val="24"/>
          <w:szCs w:val="24"/>
        </w:rPr>
        <w:t xml:space="preserve">BWC provider type </w:t>
      </w:r>
      <w:r w:rsidR="00D4120F" w:rsidRPr="00D4120F">
        <w:rPr>
          <w:sz w:val="24"/>
          <w:szCs w:val="24"/>
        </w:rPr>
        <w:lastRenderedPageBreak/>
        <w:t xml:space="preserve">35 is not eligible for any other method of inpatient reimbursement. For admissions unrelated to inpatient detox per diem services, the hospital must bill under provider type 34, 36 or 37. </w:t>
      </w:r>
    </w:p>
    <w:p w14:paraId="04F13EFC" w14:textId="4CA061B2" w:rsidR="005F4AFE" w:rsidRDefault="005F4AFE" w:rsidP="00D4120F">
      <w:pPr>
        <w:spacing w:after="200" w:line="276" w:lineRule="auto"/>
        <w:rPr>
          <w:sz w:val="24"/>
          <w:szCs w:val="24"/>
        </w:rPr>
      </w:pPr>
      <w:r>
        <w:rPr>
          <w:sz w:val="24"/>
          <w:szCs w:val="24"/>
        </w:rPr>
        <w:t>Step 1 – Identify the per diem reimbursement rate for the revenue code billed</w:t>
      </w:r>
      <w:r w:rsidR="002460B7">
        <w:rPr>
          <w:sz w:val="24"/>
          <w:szCs w:val="24"/>
        </w:rPr>
        <w:t>.</w:t>
      </w:r>
    </w:p>
    <w:p w14:paraId="360A0291" w14:textId="77777777" w:rsidR="00D4120F" w:rsidRDefault="005F4AFE" w:rsidP="00D4120F">
      <w:pPr>
        <w:spacing w:after="200" w:line="276" w:lineRule="auto"/>
        <w:rPr>
          <w:sz w:val="24"/>
          <w:szCs w:val="24"/>
        </w:rPr>
      </w:pPr>
      <w:r>
        <w:rPr>
          <w:sz w:val="24"/>
          <w:szCs w:val="24"/>
        </w:rPr>
        <w:t>Step 2 – Multiply the per diem reimbursement rate by the number of inpatient days of the admission. This is the fee schedule amount.</w:t>
      </w:r>
    </w:p>
    <w:p w14:paraId="39115748" w14:textId="77777777" w:rsidR="005F4AFE" w:rsidRDefault="005F4AFE" w:rsidP="005F4AFE">
      <w:pPr>
        <w:spacing w:after="0" w:line="276" w:lineRule="auto"/>
        <w:rPr>
          <w:sz w:val="24"/>
          <w:szCs w:val="24"/>
        </w:rPr>
      </w:pPr>
      <w:r>
        <w:rPr>
          <w:sz w:val="24"/>
          <w:szCs w:val="24"/>
        </w:rPr>
        <w:t>Step 3 – Reimbursement is made at the lesser of the billed charges or the BWC detox per diem reimbursement rate.</w:t>
      </w:r>
    </w:p>
    <w:p w14:paraId="694E407E" w14:textId="77777777" w:rsidR="005F4AFE" w:rsidRPr="00D4120F" w:rsidRDefault="005F4AFE" w:rsidP="005F4AFE">
      <w:pPr>
        <w:spacing w:after="0" w:line="276" w:lineRule="auto"/>
        <w:rPr>
          <w:sz w:val="24"/>
          <w:szCs w:val="24"/>
        </w:rPr>
      </w:pPr>
    </w:p>
    <w:p w14:paraId="7A0D0BB8" w14:textId="77777777" w:rsidR="00D4120F" w:rsidRPr="00D4120F" w:rsidRDefault="00D4120F" w:rsidP="00A11040">
      <w:pPr>
        <w:pStyle w:val="ListParagraph"/>
        <w:numPr>
          <w:ilvl w:val="0"/>
          <w:numId w:val="3"/>
        </w:numPr>
        <w:spacing w:after="0" w:line="240" w:lineRule="auto"/>
        <w:contextualSpacing w:val="0"/>
        <w:rPr>
          <w:b/>
          <w:sz w:val="24"/>
          <w:szCs w:val="24"/>
        </w:rPr>
      </w:pPr>
      <w:r w:rsidRPr="00D4120F">
        <w:rPr>
          <w:b/>
          <w:sz w:val="24"/>
          <w:szCs w:val="24"/>
        </w:rPr>
        <w:t>Formula</w:t>
      </w:r>
    </w:p>
    <w:p w14:paraId="61878BE6" w14:textId="77777777" w:rsidR="00D4120F" w:rsidRDefault="00D4120F" w:rsidP="005F4AFE">
      <w:pPr>
        <w:spacing w:after="0"/>
        <w:ind w:left="360" w:firstLine="360"/>
        <w:contextualSpacing/>
        <w:rPr>
          <w:b/>
          <w:i/>
          <w:color w:val="4472C4" w:themeColor="accent1"/>
          <w:sz w:val="24"/>
          <w:szCs w:val="24"/>
        </w:rPr>
      </w:pPr>
      <w:r w:rsidRPr="006E3D82">
        <w:rPr>
          <w:b/>
          <w:i/>
          <w:color w:val="4472C4" w:themeColor="accent1"/>
          <w:sz w:val="24"/>
          <w:szCs w:val="24"/>
        </w:rPr>
        <w:t>BWC detox per diem reimbursement = detox per diem rate x number of inpatient days</w:t>
      </w:r>
    </w:p>
    <w:p w14:paraId="280EF2B6" w14:textId="77777777" w:rsidR="005F4AFE" w:rsidRDefault="005F4AFE" w:rsidP="005F4AFE">
      <w:pPr>
        <w:spacing w:after="0"/>
        <w:ind w:left="360" w:firstLine="360"/>
        <w:contextualSpacing/>
        <w:rPr>
          <w:b/>
          <w:i/>
          <w:color w:val="4472C4" w:themeColor="accent1"/>
          <w:sz w:val="24"/>
          <w:szCs w:val="24"/>
        </w:rPr>
      </w:pPr>
    </w:p>
    <w:p w14:paraId="60820921" w14:textId="77777777" w:rsidR="005F4AFE" w:rsidRDefault="005F4AFE" w:rsidP="00A11040">
      <w:pPr>
        <w:pStyle w:val="ListParagraph"/>
        <w:numPr>
          <w:ilvl w:val="0"/>
          <w:numId w:val="3"/>
        </w:numPr>
        <w:spacing w:after="0" w:line="276" w:lineRule="auto"/>
        <w:rPr>
          <w:b/>
          <w:sz w:val="24"/>
          <w:szCs w:val="24"/>
        </w:rPr>
      </w:pPr>
      <w:r>
        <w:rPr>
          <w:b/>
          <w:sz w:val="24"/>
          <w:szCs w:val="24"/>
        </w:rPr>
        <w:t>“Lesser of” Provision</w:t>
      </w:r>
    </w:p>
    <w:p w14:paraId="77A52F18" w14:textId="77777777" w:rsidR="005F4AFE" w:rsidRDefault="005F4AFE" w:rsidP="005F4AFE">
      <w:pPr>
        <w:pStyle w:val="ListParagraph"/>
        <w:spacing w:after="0" w:line="276" w:lineRule="auto"/>
        <w:rPr>
          <w:sz w:val="24"/>
          <w:szCs w:val="24"/>
        </w:rPr>
      </w:pPr>
      <w:r w:rsidRPr="005F4AFE">
        <w:rPr>
          <w:sz w:val="24"/>
          <w:szCs w:val="24"/>
        </w:rPr>
        <w:t>Payment is</w:t>
      </w:r>
      <w:r>
        <w:rPr>
          <w:sz w:val="24"/>
          <w:szCs w:val="24"/>
        </w:rPr>
        <w:t xml:space="preserve"> made</w:t>
      </w:r>
      <w:r w:rsidRPr="005F4AFE">
        <w:rPr>
          <w:sz w:val="24"/>
          <w:szCs w:val="24"/>
        </w:rPr>
        <w:t xml:space="preserve"> the lesser of the billed charges or the BWC detox per diem reimbursement amount.</w:t>
      </w:r>
    </w:p>
    <w:p w14:paraId="7E35658A" w14:textId="77777777" w:rsidR="00034031" w:rsidRDefault="00034031" w:rsidP="005F4AFE">
      <w:pPr>
        <w:spacing w:after="0"/>
        <w:rPr>
          <w:sz w:val="24"/>
          <w:szCs w:val="24"/>
        </w:rPr>
      </w:pPr>
      <w:r>
        <w:rPr>
          <w:sz w:val="24"/>
          <w:szCs w:val="24"/>
        </w:rPr>
        <w:br w:type="page"/>
      </w:r>
    </w:p>
    <w:p w14:paraId="61856088" w14:textId="77777777" w:rsidR="00D4120F" w:rsidRPr="00516837" w:rsidRDefault="00034031" w:rsidP="00034031">
      <w:pPr>
        <w:pStyle w:val="Heading1"/>
        <w:rPr>
          <w:b/>
        </w:rPr>
      </w:pPr>
      <w:bookmarkStart w:id="18" w:name="_Toc56580528"/>
      <w:r w:rsidRPr="00516837">
        <w:rPr>
          <w:b/>
        </w:rPr>
        <w:lastRenderedPageBreak/>
        <w:t>Additional Resources</w:t>
      </w:r>
      <w:bookmarkEnd w:id="18"/>
    </w:p>
    <w:p w14:paraId="54D535EB" w14:textId="77777777" w:rsidR="00EC64B2" w:rsidRDefault="00EC64B2" w:rsidP="009C7113">
      <w:pPr>
        <w:spacing w:after="0" w:line="240" w:lineRule="auto"/>
        <w:rPr>
          <w:sz w:val="24"/>
          <w:szCs w:val="24"/>
        </w:rPr>
      </w:pPr>
    </w:p>
    <w:p w14:paraId="12826386" w14:textId="77777777" w:rsidR="00EC64B2" w:rsidRPr="00EC64B2" w:rsidRDefault="00EC64B2" w:rsidP="00EC64B2">
      <w:pPr>
        <w:spacing w:after="0" w:line="240" w:lineRule="auto"/>
        <w:rPr>
          <w:b/>
          <w:sz w:val="24"/>
          <w:szCs w:val="24"/>
        </w:rPr>
      </w:pPr>
      <w:r w:rsidRPr="00EC64B2">
        <w:rPr>
          <w:b/>
          <w:sz w:val="24"/>
          <w:szCs w:val="24"/>
        </w:rPr>
        <w:t>1.  Provider Billing and Reimbursement Manual</w:t>
      </w:r>
    </w:p>
    <w:p w14:paraId="2F30B56B" w14:textId="77777777" w:rsidR="00EC64B2" w:rsidRDefault="00EC64B2" w:rsidP="009C7113">
      <w:pPr>
        <w:spacing w:after="0" w:line="240" w:lineRule="auto"/>
        <w:rPr>
          <w:sz w:val="24"/>
          <w:szCs w:val="24"/>
        </w:rPr>
      </w:pPr>
      <w:r>
        <w:rPr>
          <w:sz w:val="24"/>
          <w:szCs w:val="24"/>
        </w:rPr>
        <w:t xml:space="preserve">BWC’s Provider Billing and Reimbursement Manual (BRM) contains additional resources for customers regarding policies related to reimbursement of medical services. The </w:t>
      </w:r>
      <w:hyperlink r:id="rId36" w:history="1">
        <w:r>
          <w:rPr>
            <w:rStyle w:val="Hyperlink"/>
            <w:sz w:val="24"/>
            <w:szCs w:val="24"/>
          </w:rPr>
          <w:t>BRM</w:t>
        </w:r>
      </w:hyperlink>
      <w:r>
        <w:rPr>
          <w:sz w:val="24"/>
          <w:szCs w:val="24"/>
        </w:rPr>
        <w:t xml:space="preserve"> can be accessed on BWC’s Web site. </w:t>
      </w:r>
    </w:p>
    <w:p w14:paraId="7AAC8403" w14:textId="77777777" w:rsidR="00EC64B2" w:rsidRDefault="00EC64B2" w:rsidP="009C7113">
      <w:pPr>
        <w:spacing w:after="0" w:line="240" w:lineRule="auto"/>
        <w:rPr>
          <w:sz w:val="24"/>
          <w:szCs w:val="24"/>
        </w:rPr>
      </w:pPr>
    </w:p>
    <w:p w14:paraId="4751657E" w14:textId="77777777" w:rsidR="00EC64B2" w:rsidRPr="00EC64B2" w:rsidRDefault="00EC64B2" w:rsidP="009C7113">
      <w:pPr>
        <w:spacing w:after="0" w:line="240" w:lineRule="auto"/>
        <w:rPr>
          <w:b/>
          <w:sz w:val="24"/>
          <w:szCs w:val="24"/>
        </w:rPr>
      </w:pPr>
      <w:r w:rsidRPr="00EC64B2">
        <w:rPr>
          <w:b/>
          <w:sz w:val="24"/>
          <w:szCs w:val="24"/>
        </w:rPr>
        <w:t xml:space="preserve">2. </w:t>
      </w:r>
      <w:r>
        <w:rPr>
          <w:b/>
          <w:sz w:val="24"/>
          <w:szCs w:val="24"/>
        </w:rPr>
        <w:t xml:space="preserve">Clinical </w:t>
      </w:r>
      <w:r w:rsidRPr="00EC64B2">
        <w:rPr>
          <w:b/>
          <w:sz w:val="24"/>
          <w:szCs w:val="24"/>
        </w:rPr>
        <w:t>Edits for All Medical Bills</w:t>
      </w:r>
    </w:p>
    <w:p w14:paraId="18AF7D19" w14:textId="77777777" w:rsidR="009C7113" w:rsidRDefault="00EC64B2" w:rsidP="009C7113">
      <w:pPr>
        <w:spacing w:after="0" w:line="240" w:lineRule="auto"/>
        <w:rPr>
          <w:sz w:val="24"/>
          <w:szCs w:val="24"/>
        </w:rPr>
      </w:pPr>
      <w:r>
        <w:rPr>
          <w:sz w:val="24"/>
          <w:szCs w:val="24"/>
        </w:rPr>
        <w:t xml:space="preserve">Prior to pricing medical bills, MCOs’ and </w:t>
      </w:r>
      <w:r w:rsidR="009C7113">
        <w:rPr>
          <w:sz w:val="24"/>
          <w:szCs w:val="24"/>
        </w:rPr>
        <w:t>BWC’s bill processing system</w:t>
      </w:r>
      <w:r>
        <w:rPr>
          <w:sz w:val="24"/>
          <w:szCs w:val="24"/>
        </w:rPr>
        <w:t>s</w:t>
      </w:r>
      <w:r w:rsidR="009C7113">
        <w:rPr>
          <w:sz w:val="24"/>
          <w:szCs w:val="24"/>
        </w:rPr>
        <w:t xml:space="preserve"> </w:t>
      </w:r>
      <w:r>
        <w:rPr>
          <w:sz w:val="24"/>
          <w:szCs w:val="24"/>
        </w:rPr>
        <w:t>apply general clinical editing to</w:t>
      </w:r>
      <w:r w:rsidR="009C7113">
        <w:rPr>
          <w:sz w:val="24"/>
          <w:szCs w:val="24"/>
        </w:rPr>
        <w:t xml:space="preserve"> all incoming bills. </w:t>
      </w:r>
    </w:p>
    <w:p w14:paraId="1F5EF842" w14:textId="77777777" w:rsidR="009C7113" w:rsidRDefault="009C7113" w:rsidP="009C7113">
      <w:pPr>
        <w:spacing w:after="0" w:line="240" w:lineRule="auto"/>
        <w:rPr>
          <w:sz w:val="24"/>
          <w:szCs w:val="24"/>
        </w:rPr>
      </w:pPr>
    </w:p>
    <w:p w14:paraId="1966BD18" w14:textId="77777777" w:rsidR="009C7113" w:rsidRPr="00EC64B2" w:rsidRDefault="009C7113" w:rsidP="00A11040">
      <w:pPr>
        <w:pStyle w:val="ListParagraph"/>
        <w:numPr>
          <w:ilvl w:val="0"/>
          <w:numId w:val="17"/>
        </w:numPr>
        <w:spacing w:after="0" w:line="240" w:lineRule="auto"/>
        <w:rPr>
          <w:sz w:val="24"/>
          <w:szCs w:val="24"/>
        </w:rPr>
      </w:pPr>
      <w:r w:rsidRPr="00EC64B2">
        <w:rPr>
          <w:sz w:val="24"/>
          <w:szCs w:val="24"/>
        </w:rPr>
        <w:t>Claim Number Validation</w:t>
      </w:r>
    </w:p>
    <w:p w14:paraId="1570EF47" w14:textId="77777777" w:rsidR="009C7113" w:rsidRPr="00EC64B2" w:rsidRDefault="009C7113" w:rsidP="00EC64B2">
      <w:pPr>
        <w:spacing w:after="0" w:line="240" w:lineRule="auto"/>
        <w:ind w:left="360"/>
        <w:rPr>
          <w:sz w:val="24"/>
          <w:szCs w:val="24"/>
        </w:rPr>
      </w:pPr>
      <w:r w:rsidRPr="00EC64B2">
        <w:rPr>
          <w:sz w:val="24"/>
          <w:szCs w:val="24"/>
        </w:rPr>
        <w:t>BWC’s system ensures the claim number submitted on the bill corresponds to a valid injured worker claim number.</w:t>
      </w:r>
    </w:p>
    <w:p w14:paraId="28983B0E" w14:textId="77777777" w:rsidR="009C7113" w:rsidRPr="00EC64B2" w:rsidRDefault="009C7113" w:rsidP="009C7113">
      <w:pPr>
        <w:spacing w:after="0" w:line="240" w:lineRule="auto"/>
        <w:rPr>
          <w:sz w:val="24"/>
          <w:szCs w:val="24"/>
        </w:rPr>
      </w:pPr>
    </w:p>
    <w:p w14:paraId="731E4DC4" w14:textId="77777777" w:rsidR="009C7113" w:rsidRPr="00EC64B2" w:rsidRDefault="009C7113" w:rsidP="00A11040">
      <w:pPr>
        <w:pStyle w:val="ListParagraph"/>
        <w:numPr>
          <w:ilvl w:val="0"/>
          <w:numId w:val="17"/>
        </w:numPr>
        <w:spacing w:after="0" w:line="240" w:lineRule="auto"/>
        <w:rPr>
          <w:sz w:val="24"/>
          <w:szCs w:val="24"/>
        </w:rPr>
      </w:pPr>
      <w:r w:rsidRPr="00EC64B2">
        <w:rPr>
          <w:sz w:val="24"/>
          <w:szCs w:val="24"/>
        </w:rPr>
        <w:t>Provider Number Validation</w:t>
      </w:r>
    </w:p>
    <w:p w14:paraId="6C9A558E" w14:textId="77777777" w:rsidR="009C7113" w:rsidRPr="00EC64B2" w:rsidRDefault="009C7113" w:rsidP="00EC64B2">
      <w:pPr>
        <w:spacing w:after="0" w:line="240" w:lineRule="auto"/>
        <w:ind w:left="360"/>
        <w:rPr>
          <w:sz w:val="24"/>
          <w:szCs w:val="24"/>
        </w:rPr>
      </w:pPr>
      <w:r w:rsidRPr="00EC64B2">
        <w:rPr>
          <w:sz w:val="24"/>
          <w:szCs w:val="24"/>
        </w:rPr>
        <w:t>BWC’s system validates that the provider number submitted on a hospital type bill corresponds to a hospital provider type.</w:t>
      </w:r>
    </w:p>
    <w:p w14:paraId="77D12470" w14:textId="77777777" w:rsidR="009C7113" w:rsidRPr="00EC64B2" w:rsidRDefault="009C7113" w:rsidP="009C7113">
      <w:pPr>
        <w:spacing w:after="0" w:line="240" w:lineRule="auto"/>
        <w:rPr>
          <w:sz w:val="24"/>
          <w:szCs w:val="24"/>
        </w:rPr>
      </w:pPr>
    </w:p>
    <w:p w14:paraId="2D6FE6A2" w14:textId="77777777" w:rsidR="009C7113" w:rsidRPr="00EC64B2" w:rsidRDefault="009C7113" w:rsidP="00A11040">
      <w:pPr>
        <w:pStyle w:val="ListParagraph"/>
        <w:numPr>
          <w:ilvl w:val="0"/>
          <w:numId w:val="17"/>
        </w:numPr>
        <w:spacing w:after="0" w:line="240" w:lineRule="auto"/>
        <w:rPr>
          <w:sz w:val="24"/>
          <w:szCs w:val="24"/>
        </w:rPr>
      </w:pPr>
      <w:r w:rsidRPr="00EC64B2">
        <w:rPr>
          <w:sz w:val="24"/>
          <w:szCs w:val="24"/>
        </w:rPr>
        <w:t>Revenue Center Code Validation</w:t>
      </w:r>
    </w:p>
    <w:p w14:paraId="38EF97C3" w14:textId="77777777" w:rsidR="009C7113" w:rsidRPr="00EC64B2" w:rsidRDefault="009C7113" w:rsidP="00EC64B2">
      <w:pPr>
        <w:spacing w:after="0" w:line="240" w:lineRule="auto"/>
        <w:ind w:left="360"/>
        <w:rPr>
          <w:sz w:val="24"/>
          <w:szCs w:val="24"/>
        </w:rPr>
      </w:pPr>
      <w:r w:rsidRPr="00EC64B2">
        <w:rPr>
          <w:sz w:val="24"/>
          <w:szCs w:val="24"/>
        </w:rPr>
        <w:t xml:space="preserve">Revenue code accepted by BWC are detailed in Table 2 of the Appendix of OAC 4123-6-37.1. Non-covered revenue codes are denied by BWC. </w:t>
      </w:r>
    </w:p>
    <w:p w14:paraId="5A9DF58C" w14:textId="77777777" w:rsidR="009C7113" w:rsidRPr="00EC64B2" w:rsidRDefault="009C7113" w:rsidP="009C7113">
      <w:pPr>
        <w:spacing w:after="0" w:line="240" w:lineRule="auto"/>
        <w:rPr>
          <w:sz w:val="24"/>
          <w:szCs w:val="24"/>
        </w:rPr>
      </w:pPr>
    </w:p>
    <w:p w14:paraId="78E1D04D" w14:textId="77777777" w:rsidR="009C7113" w:rsidRPr="00EC64B2" w:rsidRDefault="009C7113" w:rsidP="00A11040">
      <w:pPr>
        <w:pStyle w:val="ListParagraph"/>
        <w:numPr>
          <w:ilvl w:val="0"/>
          <w:numId w:val="17"/>
        </w:numPr>
        <w:spacing w:after="0" w:line="240" w:lineRule="auto"/>
        <w:rPr>
          <w:sz w:val="24"/>
          <w:szCs w:val="24"/>
        </w:rPr>
      </w:pPr>
      <w:r w:rsidRPr="00EC64B2">
        <w:rPr>
          <w:sz w:val="24"/>
          <w:szCs w:val="24"/>
        </w:rPr>
        <w:t>Diagnosis Validation</w:t>
      </w:r>
    </w:p>
    <w:p w14:paraId="0A010F04" w14:textId="77777777" w:rsidR="009C7113" w:rsidRPr="00EC64B2" w:rsidRDefault="009C7113" w:rsidP="00EC64B2">
      <w:pPr>
        <w:spacing w:after="0" w:line="240" w:lineRule="auto"/>
        <w:ind w:left="360"/>
        <w:rPr>
          <w:sz w:val="24"/>
          <w:szCs w:val="24"/>
        </w:rPr>
      </w:pPr>
      <w:r w:rsidRPr="00EC64B2">
        <w:rPr>
          <w:sz w:val="24"/>
          <w:szCs w:val="24"/>
        </w:rPr>
        <w:t>BWC’s system ensures the principal diagnosis on the inpatient bill meets one of the following criteria:</w:t>
      </w:r>
    </w:p>
    <w:p w14:paraId="65A9B570" w14:textId="77777777" w:rsidR="009C7113" w:rsidRPr="00EC64B2" w:rsidRDefault="009C7113" w:rsidP="00A11040">
      <w:pPr>
        <w:pStyle w:val="ListParagraph"/>
        <w:numPr>
          <w:ilvl w:val="0"/>
          <w:numId w:val="7"/>
        </w:numPr>
        <w:spacing w:after="0" w:line="240" w:lineRule="auto"/>
        <w:rPr>
          <w:sz w:val="24"/>
          <w:szCs w:val="24"/>
        </w:rPr>
      </w:pPr>
      <w:r w:rsidRPr="00EC64B2">
        <w:rPr>
          <w:sz w:val="24"/>
          <w:szCs w:val="24"/>
        </w:rPr>
        <w:t>Allowed in the injured worker’s claim</w:t>
      </w:r>
      <w:r w:rsidR="00EC64B2">
        <w:rPr>
          <w:sz w:val="24"/>
          <w:szCs w:val="24"/>
        </w:rPr>
        <w:t>,</w:t>
      </w:r>
    </w:p>
    <w:p w14:paraId="3AA2713D" w14:textId="585C8464" w:rsidR="009C7113" w:rsidRPr="00EC64B2" w:rsidRDefault="009C7113" w:rsidP="00A11040">
      <w:pPr>
        <w:pStyle w:val="ListParagraph"/>
        <w:numPr>
          <w:ilvl w:val="0"/>
          <w:numId w:val="7"/>
        </w:numPr>
        <w:spacing w:after="0" w:line="240" w:lineRule="auto"/>
        <w:rPr>
          <w:sz w:val="24"/>
          <w:szCs w:val="24"/>
        </w:rPr>
      </w:pPr>
      <w:r w:rsidRPr="00EC64B2">
        <w:rPr>
          <w:sz w:val="24"/>
          <w:szCs w:val="24"/>
        </w:rPr>
        <w:t xml:space="preserve">In the same diagnosis grouping </w:t>
      </w:r>
      <w:hyperlink r:id="rId37" w:history="1">
        <w:r w:rsidRPr="00EC64B2">
          <w:rPr>
            <w:rStyle w:val="Hyperlink"/>
            <w:sz w:val="24"/>
            <w:szCs w:val="24"/>
          </w:rPr>
          <w:t xml:space="preserve">diagnosis grouping </w:t>
        </w:r>
      </w:hyperlink>
      <w:r w:rsidRPr="00EC64B2">
        <w:rPr>
          <w:sz w:val="24"/>
          <w:szCs w:val="24"/>
        </w:rPr>
        <w:t>as an allowed condition in the claim, or</w:t>
      </w:r>
    </w:p>
    <w:p w14:paraId="04DF0C0D" w14:textId="77777777" w:rsidR="009C7113" w:rsidRPr="00EC64B2" w:rsidRDefault="009C7113" w:rsidP="00A11040">
      <w:pPr>
        <w:pStyle w:val="ListParagraph"/>
        <w:numPr>
          <w:ilvl w:val="0"/>
          <w:numId w:val="7"/>
        </w:numPr>
        <w:spacing w:after="0" w:line="240" w:lineRule="auto"/>
        <w:rPr>
          <w:sz w:val="24"/>
          <w:szCs w:val="24"/>
        </w:rPr>
      </w:pPr>
      <w:r w:rsidRPr="00EC64B2">
        <w:rPr>
          <w:sz w:val="24"/>
          <w:szCs w:val="24"/>
        </w:rPr>
        <w:t>The bill contains an override code applied by the MCO to indicate the diagnosis is not allowed in the claim, but the bill may be paid according to policy.</w:t>
      </w:r>
    </w:p>
    <w:p w14:paraId="7BDE0EDC" w14:textId="77777777" w:rsidR="009C7113" w:rsidRPr="00EC64B2" w:rsidRDefault="009C7113" w:rsidP="009C7113">
      <w:pPr>
        <w:spacing w:after="0" w:line="240" w:lineRule="auto"/>
        <w:rPr>
          <w:sz w:val="24"/>
          <w:szCs w:val="24"/>
        </w:rPr>
      </w:pPr>
    </w:p>
    <w:p w14:paraId="10ECFA59" w14:textId="77777777" w:rsidR="009C7113" w:rsidRPr="00EC64B2" w:rsidRDefault="009C7113" w:rsidP="00A11040">
      <w:pPr>
        <w:pStyle w:val="ListParagraph"/>
        <w:numPr>
          <w:ilvl w:val="0"/>
          <w:numId w:val="17"/>
        </w:numPr>
        <w:spacing w:after="0" w:line="240" w:lineRule="auto"/>
        <w:rPr>
          <w:sz w:val="24"/>
          <w:szCs w:val="24"/>
        </w:rPr>
      </w:pPr>
      <w:r w:rsidRPr="00EC64B2">
        <w:rPr>
          <w:sz w:val="24"/>
          <w:szCs w:val="24"/>
        </w:rPr>
        <w:t>Duplicate Check</w:t>
      </w:r>
    </w:p>
    <w:p w14:paraId="09CB36BD" w14:textId="01005CE6" w:rsidR="008C5A50" w:rsidRDefault="009C7113" w:rsidP="00E9785A">
      <w:pPr>
        <w:spacing w:after="0" w:line="240" w:lineRule="auto"/>
        <w:ind w:left="360"/>
        <w:rPr>
          <w:sz w:val="24"/>
          <w:szCs w:val="24"/>
        </w:rPr>
      </w:pPr>
      <w:r w:rsidRPr="00EC64B2">
        <w:rPr>
          <w:sz w:val="24"/>
          <w:szCs w:val="24"/>
        </w:rPr>
        <w:t>BWC’s system also checks for duplicate bills. If an incoming bill is a duplicate of a bill that is paid or in process, the incoming bill is denied.</w:t>
      </w:r>
    </w:p>
    <w:p w14:paraId="689E6DEF" w14:textId="77777777" w:rsidR="00E9785A" w:rsidRDefault="00E9785A" w:rsidP="00E9785A">
      <w:pPr>
        <w:spacing w:after="0" w:line="240" w:lineRule="auto"/>
        <w:ind w:left="360"/>
        <w:rPr>
          <w:sz w:val="24"/>
          <w:szCs w:val="24"/>
        </w:rPr>
      </w:pPr>
    </w:p>
    <w:p w14:paraId="6B383473" w14:textId="023ACB4B" w:rsidR="00A07C16" w:rsidRPr="009B63B3" w:rsidRDefault="00A07C16" w:rsidP="00A11040">
      <w:pPr>
        <w:pStyle w:val="ListParagraph"/>
        <w:numPr>
          <w:ilvl w:val="0"/>
          <w:numId w:val="18"/>
        </w:numPr>
        <w:spacing w:after="0" w:line="240" w:lineRule="auto"/>
        <w:rPr>
          <w:b/>
          <w:bCs/>
          <w:sz w:val="24"/>
          <w:szCs w:val="24"/>
        </w:rPr>
      </w:pPr>
      <w:r w:rsidRPr="009B63B3">
        <w:rPr>
          <w:b/>
          <w:bCs/>
          <w:sz w:val="24"/>
          <w:szCs w:val="24"/>
        </w:rPr>
        <w:t>Medicare IPPS fact sheet with payment formula descriptions</w:t>
      </w:r>
    </w:p>
    <w:p w14:paraId="2495AAEE" w14:textId="6C04EB5B" w:rsidR="00A07C16" w:rsidRPr="009B63B3" w:rsidRDefault="00922B31" w:rsidP="00A07C16">
      <w:pPr>
        <w:pStyle w:val="ListParagraph"/>
        <w:spacing w:after="0" w:line="240" w:lineRule="auto"/>
        <w:ind w:left="360"/>
        <w:rPr>
          <w:b/>
          <w:bCs/>
          <w:sz w:val="24"/>
          <w:szCs w:val="24"/>
        </w:rPr>
      </w:pPr>
      <w:hyperlink r:id="rId38" w:history="1">
        <w:r w:rsidR="00A07C16" w:rsidRPr="009B63B3">
          <w:rPr>
            <w:rStyle w:val="Hyperlink"/>
            <w:sz w:val="24"/>
            <w:szCs w:val="24"/>
            <w:lang w:val="en"/>
          </w:rPr>
          <w:t>Medicare IPPS Fact Sheet</w:t>
        </w:r>
      </w:hyperlink>
    </w:p>
    <w:p w14:paraId="65F89CB7" w14:textId="77777777" w:rsidR="00A07C16" w:rsidRDefault="00A07C16" w:rsidP="00A07C16">
      <w:pPr>
        <w:pStyle w:val="ListParagraph"/>
        <w:spacing w:after="0" w:line="240" w:lineRule="auto"/>
        <w:ind w:left="360"/>
        <w:rPr>
          <w:b/>
          <w:bCs/>
          <w:sz w:val="24"/>
          <w:szCs w:val="24"/>
        </w:rPr>
      </w:pPr>
    </w:p>
    <w:p w14:paraId="7556CDBC" w14:textId="2FC4B843" w:rsidR="00BF5FF2" w:rsidRPr="00BF5FF2" w:rsidRDefault="00BF5FF2" w:rsidP="00BF5FF2">
      <w:pPr>
        <w:ind w:firstLine="540"/>
        <w:rPr>
          <w:sz w:val="24"/>
          <w:szCs w:val="24"/>
        </w:rPr>
      </w:pPr>
    </w:p>
    <w:p w14:paraId="1DC37E8A" w14:textId="0B935454" w:rsidR="00E9785A" w:rsidRPr="00E9785A" w:rsidRDefault="00BF5FF2" w:rsidP="00D111D9">
      <w:pPr>
        <w:ind w:firstLine="540"/>
        <w:rPr>
          <w:sz w:val="24"/>
          <w:szCs w:val="24"/>
        </w:rPr>
      </w:pPr>
      <w:r w:rsidRPr="002A72BC">
        <w:rPr>
          <w:sz w:val="17"/>
          <w:szCs w:val="17"/>
        </w:rPr>
        <w:t xml:space="preserve"> </w:t>
      </w:r>
    </w:p>
    <w:sectPr w:rsidR="00E9785A" w:rsidRPr="00E9785A" w:rsidSect="00473993">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4DA0" w14:textId="77777777" w:rsidR="000072ED" w:rsidRDefault="000072ED" w:rsidP="00FD6582">
      <w:pPr>
        <w:spacing w:after="0" w:line="240" w:lineRule="auto"/>
      </w:pPr>
      <w:r>
        <w:separator/>
      </w:r>
    </w:p>
  </w:endnote>
  <w:endnote w:type="continuationSeparator" w:id="0">
    <w:p w14:paraId="4D658594" w14:textId="77777777" w:rsidR="000072ED" w:rsidRDefault="000072ED" w:rsidP="00FD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F96E" w14:textId="77777777" w:rsidR="000072ED" w:rsidRDefault="0000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159124"/>
      <w:docPartObj>
        <w:docPartGallery w:val="Page Numbers (Bottom of Page)"/>
        <w:docPartUnique/>
      </w:docPartObj>
    </w:sdtPr>
    <w:sdtEndPr>
      <w:rPr>
        <w:color w:val="7F7F7F" w:themeColor="background1" w:themeShade="7F"/>
        <w:spacing w:val="60"/>
      </w:rPr>
    </w:sdtEndPr>
    <w:sdtContent>
      <w:p w14:paraId="58ABDCA0" w14:textId="77777777" w:rsidR="000072ED" w:rsidRDefault="000072E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3BC3B6" w14:textId="77777777" w:rsidR="000072ED" w:rsidRDefault="00007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78CC" w14:textId="77777777" w:rsidR="000072ED" w:rsidRDefault="0000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7876" w14:textId="77777777" w:rsidR="000072ED" w:rsidRDefault="000072ED" w:rsidP="00FD6582">
      <w:pPr>
        <w:spacing w:after="0" w:line="240" w:lineRule="auto"/>
      </w:pPr>
      <w:r>
        <w:separator/>
      </w:r>
    </w:p>
  </w:footnote>
  <w:footnote w:type="continuationSeparator" w:id="0">
    <w:p w14:paraId="67E78D49" w14:textId="77777777" w:rsidR="000072ED" w:rsidRDefault="000072ED" w:rsidP="00FD6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52A9" w14:textId="77777777" w:rsidR="000072ED" w:rsidRDefault="00007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2D21" w14:textId="77777777" w:rsidR="000072ED" w:rsidRDefault="00007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4F58" w14:textId="77777777" w:rsidR="000072ED" w:rsidRDefault="00007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172"/>
    <w:multiLevelType w:val="hybridMultilevel"/>
    <w:tmpl w:val="8026BE50"/>
    <w:lvl w:ilvl="0" w:tplc="A14414BC">
      <w:start w:val="1"/>
      <w:numFmt w:val="lowerRoman"/>
      <w:lvlText w:val="%1."/>
      <w:lvlJc w:val="left"/>
      <w:pPr>
        <w:ind w:left="1080" w:hanging="360"/>
      </w:pPr>
      <w:rPr>
        <w:rFonts w:hint="default"/>
        <w:b w:val="0"/>
        <w:bCs/>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67560"/>
    <w:multiLevelType w:val="hybridMultilevel"/>
    <w:tmpl w:val="E7D44686"/>
    <w:lvl w:ilvl="0" w:tplc="7886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1218E"/>
    <w:multiLevelType w:val="hybridMultilevel"/>
    <w:tmpl w:val="5582B7B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81446"/>
    <w:multiLevelType w:val="hybridMultilevel"/>
    <w:tmpl w:val="66E2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32EDE"/>
    <w:multiLevelType w:val="hybridMultilevel"/>
    <w:tmpl w:val="930014C2"/>
    <w:lvl w:ilvl="0" w:tplc="7E54CEE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5B1E57"/>
    <w:multiLevelType w:val="hybridMultilevel"/>
    <w:tmpl w:val="7012C2F6"/>
    <w:lvl w:ilvl="0" w:tplc="D092F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E42C2"/>
    <w:multiLevelType w:val="hybridMultilevel"/>
    <w:tmpl w:val="2E46B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053B2"/>
    <w:multiLevelType w:val="hybridMultilevel"/>
    <w:tmpl w:val="49BAF898"/>
    <w:lvl w:ilvl="0" w:tplc="747A014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713436A"/>
    <w:multiLevelType w:val="hybridMultilevel"/>
    <w:tmpl w:val="E4BA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44228"/>
    <w:multiLevelType w:val="hybridMultilevel"/>
    <w:tmpl w:val="D77C6F5C"/>
    <w:lvl w:ilvl="0" w:tplc="AC9A040A">
      <w:start w:val="1"/>
      <w:numFmt w:val="lowerLetter"/>
      <w:lvlText w:val="%1."/>
      <w:lvlJc w:val="left"/>
      <w:pPr>
        <w:ind w:left="720" w:hanging="360"/>
      </w:pPr>
      <w:rPr>
        <w:rFonts w:asciiTheme="minorHAnsi" w:eastAsiaTheme="minorEastAsia" w:hAnsiTheme="minorHAnsi" w:cstheme="minorBidi"/>
        <w:b w:val="0"/>
      </w:rPr>
    </w:lvl>
    <w:lvl w:ilvl="1" w:tplc="04090019">
      <w:start w:val="1"/>
      <w:numFmt w:val="lowerLetter"/>
      <w:lvlText w:val="%2."/>
      <w:lvlJc w:val="left"/>
      <w:pPr>
        <w:ind w:left="720" w:hanging="360"/>
      </w:pPr>
    </w:lvl>
    <w:lvl w:ilvl="2" w:tplc="747A014C">
      <w:start w:val="1"/>
      <w:numFmt w:val="lowerRoman"/>
      <w:lvlText w:val="%3)"/>
      <w:lvlJc w:val="left"/>
      <w:pPr>
        <w:ind w:left="1440" w:hanging="180"/>
      </w:pPr>
      <w:rPr>
        <w:rFonts w:hint="default"/>
      </w:rPr>
    </w:lvl>
    <w:lvl w:ilvl="3" w:tplc="7FB820EE">
      <w:start w:val="1"/>
      <w:numFmt w:val="lowerRoman"/>
      <w:lvlText w:val="%4)"/>
      <w:lvlJc w:val="left"/>
      <w:pPr>
        <w:ind w:left="2160" w:hanging="360"/>
      </w:pPr>
      <w:rPr>
        <w:rFonts w:asciiTheme="minorHAnsi" w:eastAsiaTheme="minorEastAsia" w:hAnsiTheme="minorHAnsi" w:cstheme="minorBidi"/>
      </w:rPr>
    </w:lvl>
    <w:lvl w:ilvl="4" w:tplc="747A014C">
      <w:start w:val="1"/>
      <w:numFmt w:val="lowerRoman"/>
      <w:lvlText w:val="%5)"/>
      <w:lvlJc w:val="left"/>
      <w:pPr>
        <w:ind w:left="2880" w:hanging="360"/>
      </w:pPr>
      <w:rPr>
        <w:rFonts w:hint="default"/>
      </w:rPr>
    </w:lvl>
    <w:lvl w:ilvl="5" w:tplc="AFACD0CE">
      <w:start w:val="1"/>
      <w:numFmt w:val="decimal"/>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D3E6724"/>
    <w:multiLevelType w:val="hybridMultilevel"/>
    <w:tmpl w:val="233654EA"/>
    <w:lvl w:ilvl="0" w:tplc="747A014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F923A51"/>
    <w:multiLevelType w:val="hybridMultilevel"/>
    <w:tmpl w:val="F7B211E2"/>
    <w:lvl w:ilvl="0" w:tplc="4A3E8E1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44247622">
      <w:start w:val="1"/>
      <w:numFmt w:val="lowerLetter"/>
      <w:lvlText w:val="%3."/>
      <w:lvlJc w:val="left"/>
      <w:pPr>
        <w:ind w:left="1800" w:hanging="180"/>
      </w:pPr>
      <w:rPr>
        <w:rFonts w:asciiTheme="minorHAnsi" w:eastAsiaTheme="minorEastAsia"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AA7668"/>
    <w:multiLevelType w:val="hybridMultilevel"/>
    <w:tmpl w:val="43884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7F7C"/>
    <w:multiLevelType w:val="hybridMultilevel"/>
    <w:tmpl w:val="FAF06294"/>
    <w:lvl w:ilvl="0" w:tplc="3EC8ECA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B31996"/>
    <w:multiLevelType w:val="hybridMultilevel"/>
    <w:tmpl w:val="6BAE8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C3E59"/>
    <w:multiLevelType w:val="hybridMultilevel"/>
    <w:tmpl w:val="1ABAB5F8"/>
    <w:lvl w:ilvl="0" w:tplc="660E87A4">
      <w:start w:val="1"/>
      <w:numFmt w:val="decimal"/>
      <w:lvlText w:val="%1."/>
      <w:lvlJc w:val="left"/>
      <w:pPr>
        <w:ind w:left="720" w:hanging="360"/>
      </w:pPr>
    </w:lvl>
    <w:lvl w:ilvl="1" w:tplc="04090019">
      <w:start w:val="1"/>
      <w:numFmt w:val="lowerLetter"/>
      <w:lvlText w:val="%2."/>
      <w:lvlJc w:val="left"/>
      <w:pPr>
        <w:ind w:left="1440" w:hanging="360"/>
      </w:pPr>
    </w:lvl>
    <w:lvl w:ilvl="2" w:tplc="FA10D140">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949C3"/>
    <w:multiLevelType w:val="hybridMultilevel"/>
    <w:tmpl w:val="5ABEA04C"/>
    <w:lvl w:ilvl="0" w:tplc="1D9AF6EA">
      <w:start w:val="1"/>
      <w:numFmt w:val="lowerRoman"/>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F73D77"/>
    <w:multiLevelType w:val="hybridMultilevel"/>
    <w:tmpl w:val="821E2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259A7"/>
    <w:multiLevelType w:val="hybridMultilevel"/>
    <w:tmpl w:val="9244C142"/>
    <w:lvl w:ilvl="0" w:tplc="AC9A040A">
      <w:start w:val="1"/>
      <w:numFmt w:val="lowerLetter"/>
      <w:lvlText w:val="%1."/>
      <w:lvlJc w:val="left"/>
      <w:pPr>
        <w:ind w:left="720" w:hanging="360"/>
      </w:pPr>
      <w:rPr>
        <w:rFonts w:asciiTheme="minorHAnsi" w:eastAsiaTheme="minorEastAsia" w:hAnsiTheme="minorHAnsi" w:cstheme="minorBidi"/>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B1AE0382">
      <w:start w:val="1"/>
      <w:numFmt w:val="lowerRoman"/>
      <w:lvlText w:val="%4."/>
      <w:lvlJc w:val="left"/>
      <w:pPr>
        <w:ind w:left="2160" w:hanging="360"/>
      </w:pPr>
      <w:rPr>
        <w:rFonts w:hint="default"/>
      </w:rPr>
    </w:lvl>
    <w:lvl w:ilvl="4" w:tplc="040A7636">
      <w:start w:val="1"/>
      <w:numFmt w:val="upperLetter"/>
      <w:lvlText w:val="%5."/>
      <w:lvlJc w:val="left"/>
      <w:pPr>
        <w:ind w:left="2880" w:hanging="360"/>
      </w:pPr>
      <w:rPr>
        <w:rFonts w:hint="default"/>
      </w:rPr>
    </w:lvl>
    <w:lvl w:ilvl="5" w:tplc="AFACD0CE">
      <w:start w:val="1"/>
      <w:numFmt w:val="decimal"/>
      <w:lvlText w:val="%6."/>
      <w:lvlJc w:val="left"/>
      <w:pPr>
        <w:ind w:left="3780" w:hanging="360"/>
      </w:pPr>
      <w:rPr>
        <w:rFonts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C1805E5"/>
    <w:multiLevelType w:val="hybridMultilevel"/>
    <w:tmpl w:val="06983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56DDF"/>
    <w:multiLevelType w:val="hybridMultilevel"/>
    <w:tmpl w:val="B1CA13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DFB385A"/>
    <w:multiLevelType w:val="hybridMultilevel"/>
    <w:tmpl w:val="7616A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020D0"/>
    <w:multiLevelType w:val="hybridMultilevel"/>
    <w:tmpl w:val="66E2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3620E"/>
    <w:multiLevelType w:val="hybridMultilevel"/>
    <w:tmpl w:val="49BAF898"/>
    <w:lvl w:ilvl="0" w:tplc="747A014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3627C09"/>
    <w:multiLevelType w:val="hybridMultilevel"/>
    <w:tmpl w:val="8520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13C18"/>
    <w:multiLevelType w:val="hybridMultilevel"/>
    <w:tmpl w:val="1A1E7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458B"/>
    <w:multiLevelType w:val="hybridMultilevel"/>
    <w:tmpl w:val="85080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C3393"/>
    <w:multiLevelType w:val="hybridMultilevel"/>
    <w:tmpl w:val="6B00819E"/>
    <w:lvl w:ilvl="0" w:tplc="FAA659EC">
      <w:start w:val="1"/>
      <w:numFmt w:val="lowerLetter"/>
      <w:lvlText w:val="%1."/>
      <w:lvlJc w:val="left"/>
      <w:pPr>
        <w:ind w:left="775" w:hanging="360"/>
      </w:pPr>
      <w:rPr>
        <w:rFonts w:asciiTheme="minorHAnsi" w:eastAsiaTheme="minorEastAsia" w:hAnsiTheme="minorHAnsi" w:cstheme="minorBidi"/>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8" w15:restartNumberingAfterBreak="0">
    <w:nsid w:val="6F4B5CC0"/>
    <w:multiLevelType w:val="hybridMultilevel"/>
    <w:tmpl w:val="BE460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0C2F"/>
    <w:multiLevelType w:val="hybridMultilevel"/>
    <w:tmpl w:val="55566032"/>
    <w:lvl w:ilvl="0" w:tplc="747A014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4C16065"/>
    <w:multiLevelType w:val="hybridMultilevel"/>
    <w:tmpl w:val="BCBCED1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20"/>
  </w:num>
  <w:num w:numId="5">
    <w:abstractNumId w:val="24"/>
  </w:num>
  <w:num w:numId="6">
    <w:abstractNumId w:val="27"/>
  </w:num>
  <w:num w:numId="7">
    <w:abstractNumId w:val="16"/>
  </w:num>
  <w:num w:numId="8">
    <w:abstractNumId w:val="25"/>
  </w:num>
  <w:num w:numId="9">
    <w:abstractNumId w:val="21"/>
  </w:num>
  <w:num w:numId="10">
    <w:abstractNumId w:val="14"/>
  </w:num>
  <w:num w:numId="11">
    <w:abstractNumId w:val="22"/>
  </w:num>
  <w:num w:numId="12">
    <w:abstractNumId w:val="18"/>
  </w:num>
  <w:num w:numId="13">
    <w:abstractNumId w:val="5"/>
  </w:num>
  <w:num w:numId="14">
    <w:abstractNumId w:val="1"/>
  </w:num>
  <w:num w:numId="15">
    <w:abstractNumId w:val="30"/>
  </w:num>
  <w:num w:numId="16">
    <w:abstractNumId w:val="19"/>
  </w:num>
  <w:num w:numId="17">
    <w:abstractNumId w:val="12"/>
  </w:num>
  <w:num w:numId="18">
    <w:abstractNumId w:val="4"/>
  </w:num>
  <w:num w:numId="19">
    <w:abstractNumId w:val="26"/>
  </w:num>
  <w:num w:numId="20">
    <w:abstractNumId w:val="3"/>
  </w:num>
  <w:num w:numId="21">
    <w:abstractNumId w:val="6"/>
  </w:num>
  <w:num w:numId="22">
    <w:abstractNumId w:val="0"/>
  </w:num>
  <w:num w:numId="23">
    <w:abstractNumId w:val="9"/>
  </w:num>
  <w:num w:numId="24">
    <w:abstractNumId w:val="10"/>
  </w:num>
  <w:num w:numId="25">
    <w:abstractNumId w:val="7"/>
  </w:num>
  <w:num w:numId="26">
    <w:abstractNumId w:val="23"/>
  </w:num>
  <w:num w:numId="27">
    <w:abstractNumId w:val="29"/>
  </w:num>
  <w:num w:numId="28">
    <w:abstractNumId w:val="8"/>
  </w:num>
  <w:num w:numId="29">
    <w:abstractNumId w:val="28"/>
  </w:num>
  <w:num w:numId="30">
    <w:abstractNumId w:val="17"/>
  </w:num>
  <w:num w:numId="31">
    <w:abstractNumId w:val="2"/>
  </w:num>
  <w:num w:numId="3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DE"/>
    <w:rsid w:val="0000008B"/>
    <w:rsid w:val="000072ED"/>
    <w:rsid w:val="00034031"/>
    <w:rsid w:val="00043BA7"/>
    <w:rsid w:val="00043DF3"/>
    <w:rsid w:val="00046112"/>
    <w:rsid w:val="00046438"/>
    <w:rsid w:val="000655B0"/>
    <w:rsid w:val="00091672"/>
    <w:rsid w:val="00097275"/>
    <w:rsid w:val="000A037C"/>
    <w:rsid w:val="000B2A00"/>
    <w:rsid w:val="000B367C"/>
    <w:rsid w:val="000C5551"/>
    <w:rsid w:val="000C6A7D"/>
    <w:rsid w:val="000F1C84"/>
    <w:rsid w:val="000F27F9"/>
    <w:rsid w:val="00105853"/>
    <w:rsid w:val="00111385"/>
    <w:rsid w:val="00117858"/>
    <w:rsid w:val="00117BC6"/>
    <w:rsid w:val="00134C45"/>
    <w:rsid w:val="00137AEB"/>
    <w:rsid w:val="0014003D"/>
    <w:rsid w:val="001409CF"/>
    <w:rsid w:val="001464D3"/>
    <w:rsid w:val="00146D39"/>
    <w:rsid w:val="00154836"/>
    <w:rsid w:val="00165AF8"/>
    <w:rsid w:val="00190365"/>
    <w:rsid w:val="00191DBC"/>
    <w:rsid w:val="001A0B47"/>
    <w:rsid w:val="001C1234"/>
    <w:rsid w:val="001C5057"/>
    <w:rsid w:val="001D3ECC"/>
    <w:rsid w:val="001E78FE"/>
    <w:rsid w:val="001F25A7"/>
    <w:rsid w:val="00210E03"/>
    <w:rsid w:val="00211486"/>
    <w:rsid w:val="00220611"/>
    <w:rsid w:val="002210BC"/>
    <w:rsid w:val="00225259"/>
    <w:rsid w:val="00226821"/>
    <w:rsid w:val="0023529B"/>
    <w:rsid w:val="00235424"/>
    <w:rsid w:val="00236B7A"/>
    <w:rsid w:val="002460B7"/>
    <w:rsid w:val="00250D8E"/>
    <w:rsid w:val="00254862"/>
    <w:rsid w:val="002554C8"/>
    <w:rsid w:val="00255BF5"/>
    <w:rsid w:val="0026199F"/>
    <w:rsid w:val="00274936"/>
    <w:rsid w:val="002754DB"/>
    <w:rsid w:val="00283C2C"/>
    <w:rsid w:val="00293696"/>
    <w:rsid w:val="002A2D5C"/>
    <w:rsid w:val="002A3182"/>
    <w:rsid w:val="002A5B17"/>
    <w:rsid w:val="002B29FF"/>
    <w:rsid w:val="002B2FC5"/>
    <w:rsid w:val="002B4382"/>
    <w:rsid w:val="002B462D"/>
    <w:rsid w:val="002D0999"/>
    <w:rsid w:val="002D3974"/>
    <w:rsid w:val="002D40FA"/>
    <w:rsid w:val="002E091B"/>
    <w:rsid w:val="002E309E"/>
    <w:rsid w:val="00306087"/>
    <w:rsid w:val="00321DC1"/>
    <w:rsid w:val="00324DC1"/>
    <w:rsid w:val="00326A7F"/>
    <w:rsid w:val="003655AA"/>
    <w:rsid w:val="00374A0A"/>
    <w:rsid w:val="003812B0"/>
    <w:rsid w:val="00386ABE"/>
    <w:rsid w:val="003A4B0D"/>
    <w:rsid w:val="003B2FD1"/>
    <w:rsid w:val="003C132F"/>
    <w:rsid w:val="003E38E0"/>
    <w:rsid w:val="003E3C55"/>
    <w:rsid w:val="0040002E"/>
    <w:rsid w:val="00405F51"/>
    <w:rsid w:val="00406592"/>
    <w:rsid w:val="004201CE"/>
    <w:rsid w:val="004253DF"/>
    <w:rsid w:val="00456549"/>
    <w:rsid w:val="00466A41"/>
    <w:rsid w:val="004737FD"/>
    <w:rsid w:val="00473993"/>
    <w:rsid w:val="0048356D"/>
    <w:rsid w:val="004A4A31"/>
    <w:rsid w:val="004A6455"/>
    <w:rsid w:val="004C5A86"/>
    <w:rsid w:val="004C6BB9"/>
    <w:rsid w:val="004D3552"/>
    <w:rsid w:val="004D6C24"/>
    <w:rsid w:val="004F3016"/>
    <w:rsid w:val="00502BA1"/>
    <w:rsid w:val="005107BC"/>
    <w:rsid w:val="00516837"/>
    <w:rsid w:val="00520DB2"/>
    <w:rsid w:val="00531B48"/>
    <w:rsid w:val="00556CD7"/>
    <w:rsid w:val="00560C88"/>
    <w:rsid w:val="00583054"/>
    <w:rsid w:val="005966BA"/>
    <w:rsid w:val="005A77BC"/>
    <w:rsid w:val="005B087F"/>
    <w:rsid w:val="005B2624"/>
    <w:rsid w:val="005C2E14"/>
    <w:rsid w:val="005D3A70"/>
    <w:rsid w:val="005D57AE"/>
    <w:rsid w:val="005D69CE"/>
    <w:rsid w:val="005E3044"/>
    <w:rsid w:val="005E34B8"/>
    <w:rsid w:val="005F4AFE"/>
    <w:rsid w:val="00612C82"/>
    <w:rsid w:val="00612EF1"/>
    <w:rsid w:val="0061559F"/>
    <w:rsid w:val="00616D7F"/>
    <w:rsid w:val="00641940"/>
    <w:rsid w:val="00653106"/>
    <w:rsid w:val="00680C68"/>
    <w:rsid w:val="0068601A"/>
    <w:rsid w:val="006870A6"/>
    <w:rsid w:val="006B41FF"/>
    <w:rsid w:val="006C00C6"/>
    <w:rsid w:val="006C30CC"/>
    <w:rsid w:val="006C4103"/>
    <w:rsid w:val="006D370D"/>
    <w:rsid w:val="006D4365"/>
    <w:rsid w:val="006D5F7C"/>
    <w:rsid w:val="006E12F1"/>
    <w:rsid w:val="006E2DBC"/>
    <w:rsid w:val="006E3D82"/>
    <w:rsid w:val="006E6705"/>
    <w:rsid w:val="00711C69"/>
    <w:rsid w:val="00723EFC"/>
    <w:rsid w:val="007245CF"/>
    <w:rsid w:val="00727423"/>
    <w:rsid w:val="0073431C"/>
    <w:rsid w:val="00747999"/>
    <w:rsid w:val="007520BE"/>
    <w:rsid w:val="00760DE1"/>
    <w:rsid w:val="00762911"/>
    <w:rsid w:val="00765CD8"/>
    <w:rsid w:val="007716E9"/>
    <w:rsid w:val="0078607B"/>
    <w:rsid w:val="0079141E"/>
    <w:rsid w:val="00792E7B"/>
    <w:rsid w:val="007C1ED6"/>
    <w:rsid w:val="007C6C6B"/>
    <w:rsid w:val="007E712E"/>
    <w:rsid w:val="00810F63"/>
    <w:rsid w:val="00811CED"/>
    <w:rsid w:val="00817097"/>
    <w:rsid w:val="0081751E"/>
    <w:rsid w:val="008250FF"/>
    <w:rsid w:val="0083089A"/>
    <w:rsid w:val="00831B7A"/>
    <w:rsid w:val="008400E6"/>
    <w:rsid w:val="00841133"/>
    <w:rsid w:val="00853012"/>
    <w:rsid w:val="00861459"/>
    <w:rsid w:val="008642D6"/>
    <w:rsid w:val="00866A25"/>
    <w:rsid w:val="008714EB"/>
    <w:rsid w:val="00880431"/>
    <w:rsid w:val="008942DC"/>
    <w:rsid w:val="008A0C47"/>
    <w:rsid w:val="008A6B9D"/>
    <w:rsid w:val="008B329B"/>
    <w:rsid w:val="008B530E"/>
    <w:rsid w:val="008B5C0F"/>
    <w:rsid w:val="008B61FB"/>
    <w:rsid w:val="008C0E32"/>
    <w:rsid w:val="008C519E"/>
    <w:rsid w:val="008C5A50"/>
    <w:rsid w:val="008D108E"/>
    <w:rsid w:val="008E15A1"/>
    <w:rsid w:val="008E65FB"/>
    <w:rsid w:val="008E6CCA"/>
    <w:rsid w:val="008F23BB"/>
    <w:rsid w:val="008F2B10"/>
    <w:rsid w:val="008F520E"/>
    <w:rsid w:val="00900D94"/>
    <w:rsid w:val="00922B31"/>
    <w:rsid w:val="00922BC7"/>
    <w:rsid w:val="00936FF0"/>
    <w:rsid w:val="00943935"/>
    <w:rsid w:val="009462D4"/>
    <w:rsid w:val="00956405"/>
    <w:rsid w:val="00980382"/>
    <w:rsid w:val="009803F2"/>
    <w:rsid w:val="00981BC0"/>
    <w:rsid w:val="009A3364"/>
    <w:rsid w:val="009A4004"/>
    <w:rsid w:val="009B63B3"/>
    <w:rsid w:val="009C7113"/>
    <w:rsid w:val="009C74F4"/>
    <w:rsid w:val="009C7F6E"/>
    <w:rsid w:val="00A032F1"/>
    <w:rsid w:val="00A03D5C"/>
    <w:rsid w:val="00A04E33"/>
    <w:rsid w:val="00A0787E"/>
    <w:rsid w:val="00A07C16"/>
    <w:rsid w:val="00A11040"/>
    <w:rsid w:val="00A129BD"/>
    <w:rsid w:val="00A1735E"/>
    <w:rsid w:val="00A21C97"/>
    <w:rsid w:val="00A24316"/>
    <w:rsid w:val="00A2663C"/>
    <w:rsid w:val="00A374A5"/>
    <w:rsid w:val="00A505C8"/>
    <w:rsid w:val="00A66528"/>
    <w:rsid w:val="00A72E11"/>
    <w:rsid w:val="00A7384B"/>
    <w:rsid w:val="00A8151D"/>
    <w:rsid w:val="00A92A19"/>
    <w:rsid w:val="00A961D5"/>
    <w:rsid w:val="00A963BB"/>
    <w:rsid w:val="00AA71AC"/>
    <w:rsid w:val="00AB7C2F"/>
    <w:rsid w:val="00AC5953"/>
    <w:rsid w:val="00AF007E"/>
    <w:rsid w:val="00B00021"/>
    <w:rsid w:val="00B06099"/>
    <w:rsid w:val="00B2626A"/>
    <w:rsid w:val="00B379F3"/>
    <w:rsid w:val="00B4519B"/>
    <w:rsid w:val="00B6346D"/>
    <w:rsid w:val="00B63A5D"/>
    <w:rsid w:val="00B63C03"/>
    <w:rsid w:val="00B63CB5"/>
    <w:rsid w:val="00B640A6"/>
    <w:rsid w:val="00B712CD"/>
    <w:rsid w:val="00B71860"/>
    <w:rsid w:val="00B71906"/>
    <w:rsid w:val="00B905D9"/>
    <w:rsid w:val="00B947A7"/>
    <w:rsid w:val="00BA01D5"/>
    <w:rsid w:val="00BA5FC3"/>
    <w:rsid w:val="00BB0327"/>
    <w:rsid w:val="00BB205C"/>
    <w:rsid w:val="00BC1404"/>
    <w:rsid w:val="00BC1AEC"/>
    <w:rsid w:val="00BD46A3"/>
    <w:rsid w:val="00BE1BB8"/>
    <w:rsid w:val="00BE379F"/>
    <w:rsid w:val="00BE6819"/>
    <w:rsid w:val="00BF397C"/>
    <w:rsid w:val="00BF5FF2"/>
    <w:rsid w:val="00C032D3"/>
    <w:rsid w:val="00C23F15"/>
    <w:rsid w:val="00C2410D"/>
    <w:rsid w:val="00C2500E"/>
    <w:rsid w:val="00C44703"/>
    <w:rsid w:val="00C46596"/>
    <w:rsid w:val="00C5267E"/>
    <w:rsid w:val="00C668C5"/>
    <w:rsid w:val="00C67FBD"/>
    <w:rsid w:val="00C7390D"/>
    <w:rsid w:val="00C8114B"/>
    <w:rsid w:val="00C81FB8"/>
    <w:rsid w:val="00C83F53"/>
    <w:rsid w:val="00C932BC"/>
    <w:rsid w:val="00CB0280"/>
    <w:rsid w:val="00CB4F43"/>
    <w:rsid w:val="00CC1785"/>
    <w:rsid w:val="00CC5D5D"/>
    <w:rsid w:val="00CD66AA"/>
    <w:rsid w:val="00CE153E"/>
    <w:rsid w:val="00CE3B30"/>
    <w:rsid w:val="00CE60DE"/>
    <w:rsid w:val="00CE6200"/>
    <w:rsid w:val="00CF1ADF"/>
    <w:rsid w:val="00D111D9"/>
    <w:rsid w:val="00D16192"/>
    <w:rsid w:val="00D21FE3"/>
    <w:rsid w:val="00D4120F"/>
    <w:rsid w:val="00D613FB"/>
    <w:rsid w:val="00D62BC7"/>
    <w:rsid w:val="00D645FB"/>
    <w:rsid w:val="00D64F01"/>
    <w:rsid w:val="00D67E2A"/>
    <w:rsid w:val="00DA0FEF"/>
    <w:rsid w:val="00DA55B5"/>
    <w:rsid w:val="00DA6DD1"/>
    <w:rsid w:val="00DB5378"/>
    <w:rsid w:val="00DB66B3"/>
    <w:rsid w:val="00DB7D48"/>
    <w:rsid w:val="00DC1488"/>
    <w:rsid w:val="00DC3FD4"/>
    <w:rsid w:val="00DC6381"/>
    <w:rsid w:val="00DD61FC"/>
    <w:rsid w:val="00DE4029"/>
    <w:rsid w:val="00DF02D2"/>
    <w:rsid w:val="00DF507E"/>
    <w:rsid w:val="00E0792E"/>
    <w:rsid w:val="00E161EC"/>
    <w:rsid w:val="00E16C44"/>
    <w:rsid w:val="00E22F23"/>
    <w:rsid w:val="00E30055"/>
    <w:rsid w:val="00E3398A"/>
    <w:rsid w:val="00E76981"/>
    <w:rsid w:val="00E861D9"/>
    <w:rsid w:val="00E9785A"/>
    <w:rsid w:val="00EB0C48"/>
    <w:rsid w:val="00EC64B2"/>
    <w:rsid w:val="00ED0190"/>
    <w:rsid w:val="00EF189E"/>
    <w:rsid w:val="00EF19D2"/>
    <w:rsid w:val="00EF6BA5"/>
    <w:rsid w:val="00EF7369"/>
    <w:rsid w:val="00F05F97"/>
    <w:rsid w:val="00F34A0F"/>
    <w:rsid w:val="00F523F4"/>
    <w:rsid w:val="00F5410C"/>
    <w:rsid w:val="00F654B4"/>
    <w:rsid w:val="00F74B74"/>
    <w:rsid w:val="00F828C9"/>
    <w:rsid w:val="00F853E6"/>
    <w:rsid w:val="00F873DA"/>
    <w:rsid w:val="00F9119D"/>
    <w:rsid w:val="00F92350"/>
    <w:rsid w:val="00FA58E5"/>
    <w:rsid w:val="00FA611B"/>
    <w:rsid w:val="00FA6CCD"/>
    <w:rsid w:val="00FB09CE"/>
    <w:rsid w:val="00FB441E"/>
    <w:rsid w:val="00FC32DC"/>
    <w:rsid w:val="00FC660F"/>
    <w:rsid w:val="00FD6582"/>
    <w:rsid w:val="00FE1469"/>
    <w:rsid w:val="00FE4A5F"/>
    <w:rsid w:val="00FE4AB2"/>
    <w:rsid w:val="00FE5AB4"/>
    <w:rsid w:val="00FF436F"/>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2C38"/>
  <w15:chartTrackingRefBased/>
  <w15:docId w15:val="{35DB981D-73DB-4CC5-AED3-BC6BE524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021"/>
  </w:style>
  <w:style w:type="paragraph" w:styleId="Heading1">
    <w:name w:val="heading 1"/>
    <w:basedOn w:val="Normal"/>
    <w:next w:val="Normal"/>
    <w:link w:val="Heading1Char"/>
    <w:uiPriority w:val="9"/>
    <w:qFormat/>
    <w:rsid w:val="00B0002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02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0002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0002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0002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0002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0002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0002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0002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0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0021"/>
    <w:pPr>
      <w:outlineLvl w:val="9"/>
    </w:pPr>
  </w:style>
  <w:style w:type="character" w:customStyle="1" w:styleId="Heading2Char">
    <w:name w:val="Heading 2 Char"/>
    <w:basedOn w:val="DefaultParagraphFont"/>
    <w:link w:val="Heading2"/>
    <w:uiPriority w:val="9"/>
    <w:rsid w:val="00B0002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0002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0002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0002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0002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0002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0002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0002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0002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0002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0002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0002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0021"/>
    <w:rPr>
      <w:rFonts w:asciiTheme="majorHAnsi" w:eastAsiaTheme="majorEastAsia" w:hAnsiTheme="majorHAnsi" w:cstheme="majorBidi"/>
      <w:sz w:val="24"/>
      <w:szCs w:val="24"/>
    </w:rPr>
  </w:style>
  <w:style w:type="character" w:styleId="Strong">
    <w:name w:val="Strong"/>
    <w:basedOn w:val="DefaultParagraphFont"/>
    <w:uiPriority w:val="22"/>
    <w:qFormat/>
    <w:rsid w:val="00B00021"/>
    <w:rPr>
      <w:b/>
      <w:bCs/>
    </w:rPr>
  </w:style>
  <w:style w:type="character" w:styleId="Emphasis">
    <w:name w:val="Emphasis"/>
    <w:basedOn w:val="DefaultParagraphFont"/>
    <w:uiPriority w:val="20"/>
    <w:qFormat/>
    <w:rsid w:val="00B00021"/>
    <w:rPr>
      <w:i/>
      <w:iCs/>
    </w:rPr>
  </w:style>
  <w:style w:type="paragraph" w:styleId="NoSpacing">
    <w:name w:val="No Spacing"/>
    <w:link w:val="NoSpacingChar"/>
    <w:uiPriority w:val="1"/>
    <w:qFormat/>
    <w:rsid w:val="00B00021"/>
    <w:pPr>
      <w:spacing w:after="0" w:line="240" w:lineRule="auto"/>
    </w:pPr>
  </w:style>
  <w:style w:type="paragraph" w:styleId="Quote">
    <w:name w:val="Quote"/>
    <w:basedOn w:val="Normal"/>
    <w:next w:val="Normal"/>
    <w:link w:val="QuoteChar"/>
    <w:uiPriority w:val="29"/>
    <w:qFormat/>
    <w:rsid w:val="00B0002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00021"/>
    <w:rPr>
      <w:i/>
      <w:iCs/>
      <w:color w:val="404040" w:themeColor="text1" w:themeTint="BF"/>
    </w:rPr>
  </w:style>
  <w:style w:type="paragraph" w:styleId="IntenseQuote">
    <w:name w:val="Intense Quote"/>
    <w:basedOn w:val="Normal"/>
    <w:next w:val="Normal"/>
    <w:link w:val="IntenseQuoteChar"/>
    <w:uiPriority w:val="30"/>
    <w:qFormat/>
    <w:rsid w:val="00B0002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0002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00021"/>
    <w:rPr>
      <w:i/>
      <w:iCs/>
      <w:color w:val="404040" w:themeColor="text1" w:themeTint="BF"/>
    </w:rPr>
  </w:style>
  <w:style w:type="character" w:styleId="IntenseEmphasis">
    <w:name w:val="Intense Emphasis"/>
    <w:basedOn w:val="DefaultParagraphFont"/>
    <w:uiPriority w:val="21"/>
    <w:qFormat/>
    <w:rsid w:val="00B00021"/>
    <w:rPr>
      <w:b/>
      <w:bCs/>
      <w:i/>
      <w:iCs/>
    </w:rPr>
  </w:style>
  <w:style w:type="character" w:styleId="SubtleReference">
    <w:name w:val="Subtle Reference"/>
    <w:basedOn w:val="DefaultParagraphFont"/>
    <w:uiPriority w:val="31"/>
    <w:qFormat/>
    <w:rsid w:val="00B0002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0021"/>
    <w:rPr>
      <w:b/>
      <w:bCs/>
      <w:smallCaps/>
      <w:spacing w:val="5"/>
      <w:u w:val="single"/>
    </w:rPr>
  </w:style>
  <w:style w:type="character" w:styleId="BookTitle">
    <w:name w:val="Book Title"/>
    <w:basedOn w:val="DefaultParagraphFont"/>
    <w:uiPriority w:val="33"/>
    <w:qFormat/>
    <w:rsid w:val="00B00021"/>
    <w:rPr>
      <w:b/>
      <w:bCs/>
      <w:smallCaps/>
    </w:rPr>
  </w:style>
  <w:style w:type="paragraph" w:styleId="ListParagraph">
    <w:name w:val="List Paragraph"/>
    <w:basedOn w:val="Normal"/>
    <w:uiPriority w:val="34"/>
    <w:qFormat/>
    <w:rsid w:val="00CE60DE"/>
    <w:pPr>
      <w:ind w:left="720"/>
      <w:contextualSpacing/>
    </w:pPr>
  </w:style>
  <w:style w:type="character" w:styleId="Hyperlink">
    <w:name w:val="Hyperlink"/>
    <w:basedOn w:val="DefaultParagraphFont"/>
    <w:uiPriority w:val="99"/>
    <w:unhideWhenUsed/>
    <w:rsid w:val="00CC1785"/>
    <w:rPr>
      <w:color w:val="0563C1" w:themeColor="hyperlink"/>
      <w:u w:val="single"/>
    </w:rPr>
  </w:style>
  <w:style w:type="paragraph" w:styleId="TOC1">
    <w:name w:val="toc 1"/>
    <w:basedOn w:val="Normal"/>
    <w:next w:val="Normal"/>
    <w:autoRedefine/>
    <w:uiPriority w:val="39"/>
    <w:unhideWhenUsed/>
    <w:rsid w:val="00E76981"/>
    <w:pPr>
      <w:spacing w:after="100"/>
    </w:pPr>
  </w:style>
  <w:style w:type="paragraph" w:styleId="TOC2">
    <w:name w:val="toc 2"/>
    <w:basedOn w:val="Normal"/>
    <w:next w:val="Normal"/>
    <w:autoRedefine/>
    <w:uiPriority w:val="39"/>
    <w:unhideWhenUsed/>
    <w:rsid w:val="00E76981"/>
    <w:pPr>
      <w:spacing w:after="100"/>
      <w:ind w:left="200"/>
    </w:pPr>
  </w:style>
  <w:style w:type="character" w:styleId="FollowedHyperlink">
    <w:name w:val="FollowedHyperlink"/>
    <w:basedOn w:val="DefaultParagraphFont"/>
    <w:uiPriority w:val="99"/>
    <w:semiHidden/>
    <w:unhideWhenUsed/>
    <w:rsid w:val="009803F2"/>
    <w:rPr>
      <w:color w:val="954F72" w:themeColor="followedHyperlink"/>
      <w:u w:val="single"/>
    </w:rPr>
  </w:style>
  <w:style w:type="character" w:styleId="UnresolvedMention">
    <w:name w:val="Unresolved Mention"/>
    <w:basedOn w:val="DefaultParagraphFont"/>
    <w:uiPriority w:val="99"/>
    <w:semiHidden/>
    <w:unhideWhenUsed/>
    <w:rsid w:val="0040002E"/>
    <w:rPr>
      <w:color w:val="605E5C"/>
      <w:shd w:val="clear" w:color="auto" w:fill="E1DFDD"/>
    </w:rPr>
  </w:style>
  <w:style w:type="character" w:customStyle="1" w:styleId="NoSpacingChar">
    <w:name w:val="No Spacing Char"/>
    <w:basedOn w:val="DefaultParagraphFont"/>
    <w:link w:val="NoSpacing"/>
    <w:uiPriority w:val="1"/>
    <w:rsid w:val="008714EB"/>
  </w:style>
  <w:style w:type="paragraph" w:styleId="Header">
    <w:name w:val="header"/>
    <w:basedOn w:val="Normal"/>
    <w:link w:val="HeaderChar"/>
    <w:unhideWhenUsed/>
    <w:rsid w:val="00FD6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582"/>
  </w:style>
  <w:style w:type="paragraph" w:styleId="Footer">
    <w:name w:val="footer"/>
    <w:basedOn w:val="Normal"/>
    <w:link w:val="FooterChar"/>
    <w:uiPriority w:val="99"/>
    <w:unhideWhenUsed/>
    <w:rsid w:val="00FD6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582"/>
  </w:style>
  <w:style w:type="paragraph" w:customStyle="1" w:styleId="Default">
    <w:name w:val="Default"/>
    <w:rsid w:val="004737FD"/>
    <w:pPr>
      <w:autoSpaceDE w:val="0"/>
      <w:autoSpaceDN w:val="0"/>
      <w:adjustRightInd w:val="0"/>
      <w:spacing w:after="0" w:line="240" w:lineRule="auto"/>
    </w:pPr>
    <w:rPr>
      <w:rFonts w:ascii="Calibri" w:eastAsia="Calibri" w:hAnsi="Calibri" w:cs="Calibri"/>
      <w:color w:val="000000"/>
      <w:sz w:val="24"/>
      <w:szCs w:val="24"/>
    </w:rPr>
  </w:style>
  <w:style w:type="paragraph" w:styleId="TOC3">
    <w:name w:val="toc 3"/>
    <w:basedOn w:val="Normal"/>
    <w:next w:val="Normal"/>
    <w:autoRedefine/>
    <w:uiPriority w:val="39"/>
    <w:unhideWhenUsed/>
    <w:rsid w:val="00D67E2A"/>
    <w:pPr>
      <w:spacing w:after="100"/>
      <w:ind w:left="400"/>
    </w:pPr>
  </w:style>
  <w:style w:type="character" w:styleId="CommentReference">
    <w:name w:val="annotation reference"/>
    <w:basedOn w:val="DefaultParagraphFont"/>
    <w:uiPriority w:val="99"/>
    <w:semiHidden/>
    <w:unhideWhenUsed/>
    <w:rsid w:val="0083089A"/>
    <w:rPr>
      <w:sz w:val="16"/>
      <w:szCs w:val="16"/>
    </w:rPr>
  </w:style>
  <w:style w:type="paragraph" w:styleId="CommentText">
    <w:name w:val="annotation text"/>
    <w:basedOn w:val="Normal"/>
    <w:link w:val="CommentTextChar"/>
    <w:uiPriority w:val="99"/>
    <w:semiHidden/>
    <w:unhideWhenUsed/>
    <w:rsid w:val="0083089A"/>
    <w:pPr>
      <w:spacing w:line="240" w:lineRule="auto"/>
    </w:pPr>
  </w:style>
  <w:style w:type="character" w:customStyle="1" w:styleId="CommentTextChar">
    <w:name w:val="Comment Text Char"/>
    <w:basedOn w:val="DefaultParagraphFont"/>
    <w:link w:val="CommentText"/>
    <w:uiPriority w:val="99"/>
    <w:semiHidden/>
    <w:rsid w:val="0083089A"/>
  </w:style>
  <w:style w:type="paragraph" w:styleId="CommentSubject">
    <w:name w:val="annotation subject"/>
    <w:basedOn w:val="CommentText"/>
    <w:next w:val="CommentText"/>
    <w:link w:val="CommentSubjectChar"/>
    <w:uiPriority w:val="99"/>
    <w:semiHidden/>
    <w:unhideWhenUsed/>
    <w:rsid w:val="0083089A"/>
    <w:rPr>
      <w:b/>
      <w:bCs/>
    </w:rPr>
  </w:style>
  <w:style w:type="character" w:customStyle="1" w:styleId="CommentSubjectChar">
    <w:name w:val="Comment Subject Char"/>
    <w:basedOn w:val="CommentTextChar"/>
    <w:link w:val="CommentSubject"/>
    <w:uiPriority w:val="99"/>
    <w:semiHidden/>
    <w:rsid w:val="0083089A"/>
    <w:rPr>
      <w:b/>
      <w:bCs/>
    </w:rPr>
  </w:style>
  <w:style w:type="paragraph" w:styleId="BalloonText">
    <w:name w:val="Balloon Text"/>
    <w:basedOn w:val="Normal"/>
    <w:link w:val="BalloonTextChar"/>
    <w:uiPriority w:val="99"/>
    <w:semiHidden/>
    <w:unhideWhenUsed/>
    <w:rsid w:val="00830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9A"/>
    <w:rPr>
      <w:rFonts w:ascii="Segoe UI" w:hAnsi="Segoe UI" w:cs="Segoe UI"/>
      <w:sz w:val="18"/>
      <w:szCs w:val="18"/>
    </w:rPr>
  </w:style>
  <w:style w:type="character" w:customStyle="1" w:styleId="st1">
    <w:name w:val="st1"/>
    <w:basedOn w:val="DefaultParagraphFont"/>
    <w:rsid w:val="00C2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0636">
      <w:bodyDiv w:val="1"/>
      <w:marLeft w:val="0"/>
      <w:marRight w:val="0"/>
      <w:marTop w:val="0"/>
      <w:marBottom w:val="0"/>
      <w:divBdr>
        <w:top w:val="none" w:sz="0" w:space="0" w:color="auto"/>
        <w:left w:val="none" w:sz="0" w:space="0" w:color="auto"/>
        <w:bottom w:val="none" w:sz="0" w:space="0" w:color="auto"/>
        <w:right w:val="none" w:sz="0" w:space="0" w:color="auto"/>
      </w:divBdr>
    </w:div>
    <w:div w:id="287709124">
      <w:bodyDiv w:val="1"/>
      <w:marLeft w:val="0"/>
      <w:marRight w:val="0"/>
      <w:marTop w:val="0"/>
      <w:marBottom w:val="0"/>
      <w:divBdr>
        <w:top w:val="none" w:sz="0" w:space="0" w:color="auto"/>
        <w:left w:val="none" w:sz="0" w:space="0" w:color="auto"/>
        <w:bottom w:val="none" w:sz="0" w:space="0" w:color="auto"/>
        <w:right w:val="none" w:sz="0" w:space="0" w:color="auto"/>
      </w:divBdr>
      <w:divsChild>
        <w:div w:id="1258829394">
          <w:marLeft w:val="0"/>
          <w:marRight w:val="0"/>
          <w:marTop w:val="0"/>
          <w:marBottom w:val="0"/>
          <w:divBdr>
            <w:top w:val="none" w:sz="0" w:space="0" w:color="auto"/>
            <w:left w:val="none" w:sz="0" w:space="0" w:color="auto"/>
            <w:bottom w:val="none" w:sz="0" w:space="0" w:color="auto"/>
            <w:right w:val="none" w:sz="0" w:space="0" w:color="auto"/>
          </w:divBdr>
          <w:divsChild>
            <w:div w:id="1277443256">
              <w:marLeft w:val="0"/>
              <w:marRight w:val="0"/>
              <w:marTop w:val="0"/>
              <w:marBottom w:val="0"/>
              <w:divBdr>
                <w:top w:val="none" w:sz="0" w:space="0" w:color="auto"/>
                <w:left w:val="none" w:sz="0" w:space="0" w:color="auto"/>
                <w:bottom w:val="none" w:sz="0" w:space="0" w:color="auto"/>
                <w:right w:val="none" w:sz="0" w:space="0" w:color="auto"/>
              </w:divBdr>
            </w:div>
            <w:div w:id="109860039">
              <w:marLeft w:val="0"/>
              <w:marRight w:val="0"/>
              <w:marTop w:val="0"/>
              <w:marBottom w:val="0"/>
              <w:divBdr>
                <w:top w:val="none" w:sz="0" w:space="0" w:color="auto"/>
                <w:left w:val="none" w:sz="0" w:space="0" w:color="auto"/>
                <w:bottom w:val="none" w:sz="0" w:space="0" w:color="auto"/>
                <w:right w:val="none" w:sz="0" w:space="0" w:color="auto"/>
              </w:divBdr>
            </w:div>
            <w:div w:id="1808352462">
              <w:marLeft w:val="0"/>
              <w:marRight w:val="0"/>
              <w:marTop w:val="0"/>
              <w:marBottom w:val="0"/>
              <w:divBdr>
                <w:top w:val="none" w:sz="0" w:space="0" w:color="auto"/>
                <w:left w:val="none" w:sz="0" w:space="0" w:color="auto"/>
                <w:bottom w:val="none" w:sz="0" w:space="0" w:color="auto"/>
                <w:right w:val="none" w:sz="0" w:space="0" w:color="auto"/>
              </w:divBdr>
            </w:div>
            <w:div w:id="7611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9094">
      <w:bodyDiv w:val="1"/>
      <w:marLeft w:val="0"/>
      <w:marRight w:val="0"/>
      <w:marTop w:val="0"/>
      <w:marBottom w:val="0"/>
      <w:divBdr>
        <w:top w:val="none" w:sz="0" w:space="0" w:color="auto"/>
        <w:left w:val="none" w:sz="0" w:space="0" w:color="auto"/>
        <w:bottom w:val="none" w:sz="0" w:space="0" w:color="auto"/>
        <w:right w:val="none" w:sz="0" w:space="0" w:color="auto"/>
      </w:divBdr>
    </w:div>
    <w:div w:id="737242747">
      <w:bodyDiv w:val="1"/>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0"/>
          <w:marBottom w:val="0"/>
          <w:divBdr>
            <w:top w:val="none" w:sz="0" w:space="0" w:color="auto"/>
            <w:left w:val="none" w:sz="0" w:space="0" w:color="auto"/>
            <w:bottom w:val="none" w:sz="0" w:space="0" w:color="auto"/>
            <w:right w:val="none" w:sz="0" w:space="0" w:color="auto"/>
          </w:divBdr>
          <w:divsChild>
            <w:div w:id="345330798">
              <w:marLeft w:val="0"/>
              <w:marRight w:val="0"/>
              <w:marTop w:val="0"/>
              <w:marBottom w:val="0"/>
              <w:divBdr>
                <w:top w:val="none" w:sz="0" w:space="0" w:color="auto"/>
                <w:left w:val="none" w:sz="0" w:space="0" w:color="auto"/>
                <w:bottom w:val="none" w:sz="0" w:space="0" w:color="auto"/>
                <w:right w:val="none" w:sz="0" w:space="0" w:color="auto"/>
              </w:divBdr>
              <w:divsChild>
                <w:div w:id="33968511">
                  <w:marLeft w:val="0"/>
                  <w:marRight w:val="0"/>
                  <w:marTop w:val="0"/>
                  <w:marBottom w:val="0"/>
                  <w:divBdr>
                    <w:top w:val="none" w:sz="0" w:space="0" w:color="auto"/>
                    <w:left w:val="none" w:sz="0" w:space="0" w:color="auto"/>
                    <w:bottom w:val="none" w:sz="0" w:space="0" w:color="auto"/>
                    <w:right w:val="none" w:sz="0" w:space="0" w:color="auto"/>
                  </w:divBdr>
                  <w:divsChild>
                    <w:div w:id="1804689131">
                      <w:marLeft w:val="0"/>
                      <w:marRight w:val="0"/>
                      <w:marTop w:val="0"/>
                      <w:marBottom w:val="0"/>
                      <w:divBdr>
                        <w:top w:val="none" w:sz="0" w:space="0" w:color="auto"/>
                        <w:left w:val="none" w:sz="0" w:space="0" w:color="auto"/>
                        <w:bottom w:val="none" w:sz="0" w:space="0" w:color="auto"/>
                        <w:right w:val="none" w:sz="0" w:space="0" w:color="auto"/>
                      </w:divBdr>
                      <w:divsChild>
                        <w:div w:id="5098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0904">
      <w:bodyDiv w:val="1"/>
      <w:marLeft w:val="0"/>
      <w:marRight w:val="0"/>
      <w:marTop w:val="0"/>
      <w:marBottom w:val="0"/>
      <w:divBdr>
        <w:top w:val="none" w:sz="0" w:space="0" w:color="auto"/>
        <w:left w:val="none" w:sz="0" w:space="0" w:color="auto"/>
        <w:bottom w:val="none" w:sz="0" w:space="0" w:color="auto"/>
        <w:right w:val="none" w:sz="0" w:space="0" w:color="auto"/>
      </w:divBdr>
    </w:div>
    <w:div w:id="1199275085">
      <w:bodyDiv w:val="1"/>
      <w:marLeft w:val="0"/>
      <w:marRight w:val="0"/>
      <w:marTop w:val="0"/>
      <w:marBottom w:val="0"/>
      <w:divBdr>
        <w:top w:val="none" w:sz="0" w:space="0" w:color="auto"/>
        <w:left w:val="none" w:sz="0" w:space="0" w:color="auto"/>
        <w:bottom w:val="none" w:sz="0" w:space="0" w:color="auto"/>
        <w:right w:val="none" w:sz="0" w:space="0" w:color="auto"/>
      </w:divBdr>
    </w:div>
    <w:div w:id="1386611334">
      <w:bodyDiv w:val="1"/>
      <w:marLeft w:val="0"/>
      <w:marRight w:val="0"/>
      <w:marTop w:val="0"/>
      <w:marBottom w:val="0"/>
      <w:divBdr>
        <w:top w:val="none" w:sz="0" w:space="0" w:color="auto"/>
        <w:left w:val="none" w:sz="0" w:space="0" w:color="auto"/>
        <w:bottom w:val="none" w:sz="0" w:space="0" w:color="auto"/>
        <w:right w:val="none" w:sz="0" w:space="0" w:color="auto"/>
      </w:divBdr>
      <w:divsChild>
        <w:div w:id="417748556">
          <w:marLeft w:val="0"/>
          <w:marRight w:val="0"/>
          <w:marTop w:val="0"/>
          <w:marBottom w:val="0"/>
          <w:divBdr>
            <w:top w:val="none" w:sz="0" w:space="0" w:color="auto"/>
            <w:left w:val="none" w:sz="0" w:space="0" w:color="auto"/>
            <w:bottom w:val="none" w:sz="0" w:space="0" w:color="auto"/>
            <w:right w:val="none" w:sz="0" w:space="0" w:color="auto"/>
          </w:divBdr>
          <w:divsChild>
            <w:div w:id="46493041">
              <w:marLeft w:val="0"/>
              <w:marRight w:val="0"/>
              <w:marTop w:val="0"/>
              <w:marBottom w:val="0"/>
              <w:divBdr>
                <w:top w:val="none" w:sz="0" w:space="0" w:color="auto"/>
                <w:left w:val="none" w:sz="0" w:space="0" w:color="auto"/>
                <w:bottom w:val="none" w:sz="0" w:space="0" w:color="auto"/>
                <w:right w:val="none" w:sz="0" w:space="0" w:color="auto"/>
              </w:divBdr>
            </w:div>
            <w:div w:id="2045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980">
      <w:bodyDiv w:val="1"/>
      <w:marLeft w:val="0"/>
      <w:marRight w:val="0"/>
      <w:marTop w:val="0"/>
      <w:marBottom w:val="0"/>
      <w:divBdr>
        <w:top w:val="none" w:sz="0" w:space="0" w:color="auto"/>
        <w:left w:val="none" w:sz="0" w:space="0" w:color="auto"/>
        <w:bottom w:val="none" w:sz="0" w:space="0" w:color="auto"/>
        <w:right w:val="none" w:sz="0" w:space="0" w:color="auto"/>
      </w:divBdr>
      <w:divsChild>
        <w:div w:id="1598951531">
          <w:marLeft w:val="0"/>
          <w:marRight w:val="0"/>
          <w:marTop w:val="0"/>
          <w:marBottom w:val="0"/>
          <w:divBdr>
            <w:top w:val="none" w:sz="0" w:space="0" w:color="auto"/>
            <w:left w:val="none" w:sz="0" w:space="0" w:color="auto"/>
            <w:bottom w:val="none" w:sz="0" w:space="0" w:color="auto"/>
            <w:right w:val="none" w:sz="0" w:space="0" w:color="auto"/>
          </w:divBdr>
          <w:divsChild>
            <w:div w:id="665205193">
              <w:marLeft w:val="0"/>
              <w:marRight w:val="0"/>
              <w:marTop w:val="0"/>
              <w:marBottom w:val="0"/>
              <w:divBdr>
                <w:top w:val="none" w:sz="0" w:space="0" w:color="auto"/>
                <w:left w:val="none" w:sz="0" w:space="0" w:color="auto"/>
                <w:bottom w:val="none" w:sz="0" w:space="0" w:color="auto"/>
                <w:right w:val="none" w:sz="0" w:space="0" w:color="auto"/>
              </w:divBdr>
              <w:divsChild>
                <w:div w:id="1656109838">
                  <w:marLeft w:val="0"/>
                  <w:marRight w:val="0"/>
                  <w:marTop w:val="0"/>
                  <w:marBottom w:val="0"/>
                  <w:divBdr>
                    <w:top w:val="none" w:sz="0" w:space="0" w:color="auto"/>
                    <w:left w:val="none" w:sz="0" w:space="0" w:color="auto"/>
                    <w:bottom w:val="none" w:sz="0" w:space="0" w:color="auto"/>
                    <w:right w:val="none" w:sz="0" w:space="0" w:color="auto"/>
                  </w:divBdr>
                  <w:divsChild>
                    <w:div w:id="730739698">
                      <w:marLeft w:val="0"/>
                      <w:marRight w:val="0"/>
                      <w:marTop w:val="0"/>
                      <w:marBottom w:val="0"/>
                      <w:divBdr>
                        <w:top w:val="none" w:sz="0" w:space="0" w:color="auto"/>
                        <w:left w:val="none" w:sz="0" w:space="0" w:color="auto"/>
                        <w:bottom w:val="none" w:sz="0" w:space="0" w:color="auto"/>
                        <w:right w:val="none" w:sz="0" w:space="0" w:color="auto"/>
                      </w:divBdr>
                      <w:divsChild>
                        <w:div w:id="1379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123-6-01v1" TargetMode="External"/><Relationship Id="rId18" Type="http://schemas.openxmlformats.org/officeDocument/2006/relationships/hyperlink" Target="https://www.cms.gov/Regulations-and-Guidance/Guidance/Manuals/downloads/clm104c03.pdf" TargetMode="External"/><Relationship Id="rId26" Type="http://schemas.openxmlformats.org/officeDocument/2006/relationships/hyperlink" Target="https://www.cms.gov/Medicare/Medicare-Fee-for-Service-Payment/AcuteInpatientPPS" TargetMode="External"/><Relationship Id="rId39" Type="http://schemas.openxmlformats.org/officeDocument/2006/relationships/header" Target="header1.xml"/><Relationship Id="rId21" Type="http://schemas.openxmlformats.org/officeDocument/2006/relationships/hyperlink" Target="https://www.cms.gov/Medicare/Medicare-Fee-for-Service-Payment/AcuteInpatientPPS" TargetMode="External"/><Relationship Id="rId34" Type="http://schemas.openxmlformats.org/officeDocument/2006/relationships/hyperlink" Target="http://codes.ohio.gov/oac/4123-6-21.7v1"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info.gov/content/pkg/CFR-2015-title42-vol2/pdf/CFR-2015-title42-vol2-sec412-23.pdf" TargetMode="External"/><Relationship Id="rId29" Type="http://schemas.openxmlformats.org/officeDocument/2006/relationships/hyperlink" Target="https://info.bwc.ohio.gov/wps/portal/bwc/site/provider/billing-and-reimbursement/find-a-fee-schedule/!ut/p/z1/tVJNb9swDP0r7cFHRaotJXZv3rC1KZIUQz7tyyDbsq1AllxZcdb--jFrCwxbM28oppNIkI_vPRKneIdTzXtZcSeN5griJB1_vY9mN7dTShbhahWReDONFovNOGBrH29_KfDDCYk_s-lydvPlnq0oTv-mn5x5MRnq3-AUp20uC5z4PM-jkPiI0YwhyjKCoqKgKKB0wq7GrCh5earOtWtdjZPsmF_kRjuh3YXQlZJd7RFIeqS1ppeFsBBKpaSuENcFskI22cF2ooEOj5QSchyVQqAur0VxUALfDdEFP307_zivgDR3NZK6NHh3dgrevTUFQOT-4SGNQcuJ_zeo-w9itiezBpb7o-AP2wNDKmWy50uKdRaEoNyKUlhhRwcL6dq5trv2iEdOXoyA8sjU0owq03vk2HYgwFjH1YuaTjrxs6bX31v4tenAmd9gcQI3Nzm7pSuKt70UR7zWxjbAfPmPJ3ZLhiaM3zlhAD54J3zbrNdNGDC1fwzInql-Vs4_BTS5658-zOPLy-96zKMN/dz/d5/L2dBISEvZ0FBIS9nQSE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fo.bwc.ohio.gov/wps/portal/bwc/site/provider/billing-and-reimbursement/find-a-fee-schedule/!ut/p/z1/tVJNb9swDP0r7cFHRaotJXZv3rC1KZIUQz7tyyDbsq1AllxZcdb--jFrCwxbM28oppNIkI_vPRKneIdTzXtZcSeN5griJB1_vY9mN7dTShbhahWReDONFovNOGBrH29_KfDDCYk_s-lydvPlnq0oTv-mn5x5MRnq3-AUp20uC5z4PM-jkPiI0YwhyjKCoqKgKKB0wq7GrCh5earOtWtdjZPsmF_kRjuh3YXQlZJd7RFIeqS1ppeFsBBKpaSuENcFskI22cF2ooEOj5QSchyVQqAur0VxUALfDdEFP307_zivgDR3NZK6NHh3dgrevTUFQOT-4SGNQcuJ_zeo-w9itiezBpb7o-AP2wNDKmWy50uKdRaEoNyKUlhhRwcL6dq5trv2iEdOXoyA8sjU0owq03vk2HYgwFjH1YuaTjrxs6bX31v4tenAmd9gcQI3Nzm7pSuKt70UR7zWxjbAfPmPJ3ZLhiaM3zlhAD54J3zbrNdNGDC1fwzInql-Vs4_BTS5658-zOPLy-96zKMN/dz/d5/L2dBISEvZ0FBIS9nQSEh/" TargetMode="External"/><Relationship Id="rId32" Type="http://schemas.openxmlformats.org/officeDocument/2006/relationships/hyperlink" Target="https://info.bwc.ohio.gov/wps/portal/bwc/site/provider/billing-and-reimbursement/find-a-fee-schedule/!ut/p/z1/tVJNb9swDP0r7cFHRaotJXZv3rC1KZIUQz7tyyDbsq1AllxZcdb--jFrCwxbM28oppNIkI_vPRKneIdTzXtZcSeN5griJB1_vY9mN7dTShbhahWReDONFovNOGBrH29_KfDDCYk_s-lydvPlnq0oTv-mn5x5MRnq3-AUp20uC5z4PM-jkPiI0YwhyjKCoqKgKKB0wq7GrCh5earOtWtdjZPsmF_kRjuh3YXQlZJd7RFIeqS1ppeFsBBKpaSuENcFskI22cF2ooEOj5QSchyVQqAur0VxUALfDdEFP307_zivgDR3NZK6NHh3dgrevTUFQOT-4SGNQcuJ_zeo-w9itiezBpb7o-AP2wNDKmWy50uKdRaEoNyKUlhhRwcL6dq5trv2iEdOXoyA8sjU0owq03vk2HYgwFjH1YuaTjrxs6bX31v4tenAmd9gcQI3Nzm7pSuKt70UR7zWxjbAfPmPJ3ZLhiaM3zlhAD54J3zbrNdNGDC1fwzInql-Vs4_BTS5658-zOPLy-96zKMN/dz/d5/L2dBISEvZ0FBIS9nQSEh/" TargetMode="External"/><Relationship Id="rId37" Type="http://schemas.openxmlformats.org/officeDocument/2006/relationships/hyperlink" Target="http://codes.ohio.gov/oac/4123-6-37.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ms.gov/Medicare/Medicare-Fee-for-Service-Payment/AcuteInpatientPPS" TargetMode="External"/><Relationship Id="rId23" Type="http://schemas.openxmlformats.org/officeDocument/2006/relationships/hyperlink" Target="https://www.cms.gov/Regulations-and-Guidance/Guidance/Manuals/downloads/clm104c04.pdf" TargetMode="External"/><Relationship Id="rId28" Type="http://schemas.openxmlformats.org/officeDocument/2006/relationships/hyperlink" Target="http://codes.ohio.gov/oac/4123-6-01v1" TargetMode="External"/><Relationship Id="rId36" Type="http://schemas.openxmlformats.org/officeDocument/2006/relationships/hyperlink" Target="https://info.bwc.ohio.gov/wps/portal/bwc/site/provider/billing-and-reimbursement/billing-reimbursement-manual/!ut/p/z1/tVLZUoMwFP0VfeCRJhLSUt_QUdtOl3HsIrw4gaaQDiQ0pFT9ei8u41rRccxTcpdzzzk3KETXKJSsEgkzQkmWwTsI2zeT7vCi13fx2JtOu9if97vj8bxN6MxBiw8FjtfB_jntXw0vLid06qLwJ_14z_FxU_8chSgsYrFEAe1y5iwjbpMOo7ZL244dHWFmxw4m1COc4Nitq2NpCpOiINrFB7GShktzwGWSiTK1MAQtXGhViSXX8BRZJmRiM7m0NRd5tNUlz6HjNfUubOdMbsG3QRNvMNbRo9NRAuyZSW0hVwpd7x33mvpyHKCJ9WYT-qCuVnRbN_yjvEXtY8PeHwu-WSxYlGQqemLvy4h44IXmK665bm01hFNjivLYwhau3WkB95ZKhWolqrLwrihBidKGZc-ySmH4W3Evt6_wU1WCRZ9gUQDfsbN3b0cuWlSC79BMKp0D86tf_r4ebprQ_uOEBnjyR_gin81yj9BsfUfwmmbVcDU6I24wqO5PRv7h4QN4xUhf/dz/d5/L2dBISEvZ0FBIS9nQSEh/" TargetMode="External"/><Relationship Id="rId10" Type="http://schemas.openxmlformats.org/officeDocument/2006/relationships/endnotes" Target="endnotes.xml"/><Relationship Id="rId19" Type="http://schemas.openxmlformats.org/officeDocument/2006/relationships/hyperlink" Target="https://www.cms.gov/Medicare/Medicare-Fee-for-Service-Payment/AcuteInpatientPPS" TargetMode="External"/><Relationship Id="rId31" Type="http://schemas.openxmlformats.org/officeDocument/2006/relationships/hyperlink" Target="http://codes.ohio.gov/oac/4123-6-01v1"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des.ohio.gov/oac/4123-6-37.1" TargetMode="External"/><Relationship Id="rId22" Type="http://schemas.openxmlformats.org/officeDocument/2006/relationships/hyperlink" Target="https://www.cms.gov/Outreach-and-Education/Medicare-Learning-Network-MLN/MLNProducts/Downloads/AcutePaymtSysfctsht.pdf" TargetMode="External"/><Relationship Id="rId27" Type="http://schemas.openxmlformats.org/officeDocument/2006/relationships/hyperlink" Target="https://www.cms.gov/Medicare/Medicare-Fee-for-Service-Payment/ProspMedicareFeeSvcPmtGen/psf_text.html" TargetMode="External"/><Relationship Id="rId30" Type="http://schemas.openxmlformats.org/officeDocument/2006/relationships/hyperlink" Target="file://wghome1/a71374/Lisa's%20temp%20folder/IPPS%20-%20Determining%20Hospital%20Inpatient%20Cost-to-Charge%20Ratios" TargetMode="External"/><Relationship Id="rId35" Type="http://schemas.openxmlformats.org/officeDocument/2006/relationships/hyperlink" Target="https://info.bwc.ohio.gov/wps/portal/bwc/site/provider/billing-and-reimbursement/billing-reimbursement-manual/!ut/p/z1/tVLZUoMwFP0VfeCRJhLSUt_QUdtOl3HsIrw4gaaQDiQ0pFT9ei8u41rRccxTcpdzzzk3KETXKJSsEgkzQkmWwTsI2zeT7vCi13fx2JtOu9if97vj8bxN6MxBiw8FjtfB_jntXw0vLid06qLwJ_14z_FxU_8chSgsYrFEAe1y5iwjbpMOo7ZL244dHWFmxw4m1COc4Nitq2NpCpOiINrFB7GShktzwGWSiTK1MAQtXGhViSXX8BRZJmRiM7m0NRd5tNUlz6HjNfUubOdMbsG3QRNvMNbRo9NRAuyZSW0hVwpd7x33mvpyHKCJ9WYT-qCuVnRbN_yjvEXtY8PeHwu-WSxYlGQqemLvy4h44IXmK665bm01hFNjivLYwhau3WkB95ZKhWolqrLwrihBidKGZc-ySmH4W3Evt6_wU1WCRZ9gUQDfsbN3b0cuWlSC79BMKp0D86tf_r4ebprQ_uOEBnjyR_gin81yj9BsfUfwmmbVcDU6I24wqO5PRv7h4QN4xUhf/dz/d5/L2dBISEvZ0FBIS9nQSEh/"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odes.ohio.gov/oac/4123-6-37.1" TargetMode="External"/><Relationship Id="rId17" Type="http://schemas.openxmlformats.org/officeDocument/2006/relationships/hyperlink" Target="https://www.cms.gov/Outreach-and-Education/Medicare-Learning-Network-MLN/MLNProducts/Downloads/AcutePaymtSysfctsht.pdf" TargetMode="External"/><Relationship Id="rId25" Type="http://schemas.openxmlformats.org/officeDocument/2006/relationships/hyperlink" Target="https://www.cms.gov/Medicare/Medicare-Fee-for-Service-Payment/ProspMedicareFeeSvcPmtGen/psf_text.html" TargetMode="External"/><Relationship Id="rId33" Type="http://schemas.openxmlformats.org/officeDocument/2006/relationships/hyperlink" Target="file://wghome1/a71374/Lisa's%20temp%20folder/IPPS%20-%20Determining%20Hospital%20Inpatient%20Cost-to-Charge%20Ratios" TargetMode="External"/><Relationship Id="rId38" Type="http://schemas.openxmlformats.org/officeDocument/2006/relationships/hyperlink" Target="https://www.cms.gov/Outreach-and-Education/Medicare-Learning-Network-MLN/MLNProducts/Downloads/AcutePaymtSysfctsht.pdf" TargetMode="External"/><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F7A747CCFF5488DC122FB9C7DE36C" ma:contentTypeVersion="4" ma:contentTypeDescription="Create a new document." ma:contentTypeScope="" ma:versionID="0fb65bf87e7fd6e40dcc78bd1154c32d">
  <xsd:schema xmlns:xsd="http://www.w3.org/2001/XMLSchema" xmlns:xs="http://www.w3.org/2001/XMLSchema" xmlns:p="http://schemas.microsoft.com/office/2006/metadata/properties" xmlns:ns2="3fff3133-70ec-426e-ae37-d8740eb96426" targetNamespace="http://schemas.microsoft.com/office/2006/metadata/properties" ma:root="true" ma:fieldsID="7a0a918254d7eebd0f81e4e42e8a4681" ns2:_="">
    <xsd:import namespace="3fff3133-70ec-426e-ae37-d8740eb9642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3133-70ec-426e-ae37-d8740eb96426"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EBD5-CC55-427E-B124-B5B90C0DC258}">
  <ds:schemaRefs>
    <ds:schemaRef ds:uri="http://purl.org/dc/terms/"/>
    <ds:schemaRef ds:uri="http://purl.org/dc/elements/1.1/"/>
    <ds:schemaRef ds:uri="3fff3133-70ec-426e-ae37-d8740eb96426"/>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8290EA3-F7EE-4964-9F4D-587F0A634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3133-70ec-426e-ae37-d8740eb96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23BC8-2D97-409B-97A6-3D68F620FE16}">
  <ds:schemaRefs>
    <ds:schemaRef ds:uri="http://schemas.microsoft.com/sharepoint/v3/contenttype/forms"/>
  </ds:schemaRefs>
</ds:datastoreItem>
</file>

<file path=customXml/itemProps4.xml><?xml version="1.0" encoding="utf-8"?>
<ds:datastoreItem xmlns:ds="http://schemas.openxmlformats.org/officeDocument/2006/customXml" ds:itemID="{0713B1C6-637A-4102-A6FD-4CD020D7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7181</Words>
  <Characters>40938</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Lisa</dc:creator>
  <cp:keywords/>
  <dc:description/>
  <cp:lastModifiedBy>Monder, Kim</cp:lastModifiedBy>
  <cp:revision>2</cp:revision>
  <cp:lastPrinted>2020-03-04T00:00:00Z</cp:lastPrinted>
  <dcterms:created xsi:type="dcterms:W3CDTF">2021-01-29T17:33:00Z</dcterms:created>
  <dcterms:modified xsi:type="dcterms:W3CDTF">2021-01-29T17:33:00Z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0x01010043BF7A747CCFF5488DC122FB9C7DE36C</vt:lpwstr>
  </property>
</Properties>
</file>