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EFE70" w14:textId="77777777" w:rsidR="00017190" w:rsidRDefault="00017190" w:rsidP="005E7F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How to Determine a Hospital’s Inpatient Cost-to-</w:t>
      </w:r>
      <w:r w:rsidR="00CF5559">
        <w:rPr>
          <w:b/>
          <w:bCs/>
          <w:sz w:val="23"/>
          <w:szCs w:val="23"/>
        </w:rPr>
        <w:t>Charge Ratio for Rate Year 2018</w:t>
      </w:r>
    </w:p>
    <w:p w14:paraId="430418C8" w14:textId="77777777" w:rsidR="00017190" w:rsidRDefault="00017190" w:rsidP="00017190">
      <w:pPr>
        <w:pStyle w:val="Default"/>
        <w:rPr>
          <w:sz w:val="23"/>
          <w:szCs w:val="23"/>
        </w:rPr>
      </w:pPr>
    </w:p>
    <w:p w14:paraId="0F378182" w14:textId="77777777" w:rsidR="00017190" w:rsidRDefault="004D0444" w:rsidP="000171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assist self-</w:t>
      </w:r>
      <w:r w:rsidR="00017190">
        <w:rPr>
          <w:sz w:val="22"/>
          <w:szCs w:val="22"/>
        </w:rPr>
        <w:t>insured employers in bill pricing, BWC</w:t>
      </w:r>
      <w:r>
        <w:rPr>
          <w:sz w:val="22"/>
          <w:szCs w:val="22"/>
        </w:rPr>
        <w:t xml:space="preserve"> is providing a list of the 2018</w:t>
      </w:r>
      <w:r w:rsidR="00017190">
        <w:rPr>
          <w:sz w:val="22"/>
          <w:szCs w:val="22"/>
        </w:rPr>
        <w:t xml:space="preserve"> inpatient CCRs currently in our system. </w:t>
      </w:r>
      <w:r>
        <w:rPr>
          <w:sz w:val="22"/>
          <w:szCs w:val="22"/>
        </w:rPr>
        <w:t xml:space="preserve"> I</w:t>
      </w:r>
      <w:r w:rsidR="00017190">
        <w:rPr>
          <w:sz w:val="22"/>
          <w:szCs w:val="22"/>
        </w:rPr>
        <w:t>f the hospital has not previously done business with BWC, then the CCR will not be included in the document.</w:t>
      </w:r>
      <w:r>
        <w:rPr>
          <w:sz w:val="22"/>
          <w:szCs w:val="22"/>
        </w:rPr>
        <w:t xml:space="preserve"> </w:t>
      </w:r>
      <w:r w:rsidR="00017190">
        <w:rPr>
          <w:sz w:val="22"/>
          <w:szCs w:val="22"/>
        </w:rPr>
        <w:t xml:space="preserve"> In those cases, the self</w:t>
      </w:r>
      <w:r>
        <w:rPr>
          <w:sz w:val="22"/>
          <w:szCs w:val="22"/>
        </w:rPr>
        <w:t>-</w:t>
      </w:r>
      <w:r w:rsidR="00017190">
        <w:rPr>
          <w:sz w:val="22"/>
          <w:szCs w:val="22"/>
        </w:rPr>
        <w:t xml:space="preserve">insured employer can access the Medicare public files to identify the hospital’s inpatient CCR. </w:t>
      </w:r>
    </w:p>
    <w:p w14:paraId="5F700B53" w14:textId="77777777" w:rsidR="004D0444" w:rsidRDefault="004D0444" w:rsidP="00017190">
      <w:pPr>
        <w:pStyle w:val="Default"/>
        <w:rPr>
          <w:sz w:val="22"/>
          <w:szCs w:val="22"/>
        </w:rPr>
      </w:pPr>
    </w:p>
    <w:p w14:paraId="686F6AB5" w14:textId="77777777" w:rsidR="00017190" w:rsidRDefault="00017190" w:rsidP="000171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Identifying the hospital-specific CCR in the Medicare Inpatient Provider Specific Files (IPSFs) </w:t>
      </w:r>
    </w:p>
    <w:p w14:paraId="155D8FC0" w14:textId="77777777" w:rsidR="00260009" w:rsidRDefault="00260009" w:rsidP="00260009">
      <w:pPr>
        <w:pStyle w:val="Default"/>
        <w:ind w:left="720"/>
        <w:rPr>
          <w:sz w:val="22"/>
          <w:szCs w:val="22"/>
        </w:rPr>
      </w:pPr>
    </w:p>
    <w:p w14:paraId="4160851A" w14:textId="77777777" w:rsidR="00017190" w:rsidRDefault="00017190" w:rsidP="00702B2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hospital-specific Medicare CCRs for this methodology come from the October 201</w:t>
      </w:r>
      <w:r w:rsidR="00260009">
        <w:rPr>
          <w:sz w:val="22"/>
          <w:szCs w:val="22"/>
        </w:rPr>
        <w:t>7</w:t>
      </w:r>
      <w:r>
        <w:rPr>
          <w:sz w:val="22"/>
          <w:szCs w:val="22"/>
        </w:rPr>
        <w:t xml:space="preserve"> inpatient provider specific file (IPSF) in use by Medicare. </w:t>
      </w:r>
      <w:r w:rsidR="002600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There are four separate files used: inpatient, inpatient rehab, long term care and inpatient psychiatric facility. </w:t>
      </w:r>
      <w:r w:rsidR="002600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They can be found on the Medicare Web site: Home &gt; Medicare &gt; Prospective Payment Systems - General Information &gt; Provider Specific Data for Public Use in </w:t>
      </w:r>
      <w:r w:rsidR="00260009">
        <w:rPr>
          <w:sz w:val="22"/>
          <w:szCs w:val="22"/>
        </w:rPr>
        <w:t>SAS</w:t>
      </w:r>
      <w:r>
        <w:rPr>
          <w:sz w:val="22"/>
          <w:szCs w:val="22"/>
        </w:rPr>
        <w:t xml:space="preserve"> or text Format, or click on the following link: </w:t>
      </w:r>
    </w:p>
    <w:p w14:paraId="2EDF13CF" w14:textId="77777777" w:rsidR="00260009" w:rsidRDefault="00260009" w:rsidP="00260009">
      <w:pPr>
        <w:pStyle w:val="Default"/>
        <w:rPr>
          <w:sz w:val="22"/>
          <w:szCs w:val="22"/>
        </w:rPr>
      </w:pPr>
    </w:p>
    <w:p w14:paraId="3F07AC1D" w14:textId="77777777" w:rsidR="00260009" w:rsidRDefault="00647AE3" w:rsidP="00702B26">
      <w:pPr>
        <w:pStyle w:val="Default"/>
        <w:ind w:left="720"/>
        <w:rPr>
          <w:sz w:val="22"/>
          <w:szCs w:val="22"/>
        </w:rPr>
      </w:pPr>
      <w:hyperlink r:id="rId8" w:history="1">
        <w:r w:rsidR="00260009" w:rsidRPr="0027593E">
          <w:rPr>
            <w:rStyle w:val="Hyperlink"/>
            <w:sz w:val="22"/>
            <w:szCs w:val="22"/>
          </w:rPr>
          <w:t>https://www.cms.gov/Medicare/Medicare-Fee-for-Service-Payment/ProspMedicareFeeSvcPmtGen/psf_text.html</w:t>
        </w:r>
      </w:hyperlink>
      <w:r w:rsidR="00260009">
        <w:rPr>
          <w:sz w:val="22"/>
          <w:szCs w:val="22"/>
        </w:rPr>
        <w:t xml:space="preserve"> </w:t>
      </w:r>
    </w:p>
    <w:p w14:paraId="2462AC0E" w14:textId="77777777" w:rsidR="00017190" w:rsidRDefault="00017190" w:rsidP="00017190">
      <w:pPr>
        <w:pStyle w:val="Default"/>
        <w:rPr>
          <w:sz w:val="22"/>
          <w:szCs w:val="22"/>
        </w:rPr>
      </w:pPr>
    </w:p>
    <w:p w14:paraId="786F4E8E" w14:textId="77777777" w:rsidR="00017190" w:rsidRDefault="00017190" w:rsidP="00702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Select the appropriate provider specific file based on the hospital type. </w:t>
      </w:r>
    </w:p>
    <w:p w14:paraId="612583A3" w14:textId="77777777" w:rsidR="00702B26" w:rsidRDefault="00702B26" w:rsidP="00702B26">
      <w:pPr>
        <w:pStyle w:val="Default"/>
        <w:ind w:left="720"/>
        <w:rPr>
          <w:sz w:val="22"/>
          <w:szCs w:val="22"/>
        </w:rPr>
      </w:pPr>
    </w:p>
    <w:p w14:paraId="7737ED56" w14:textId="77777777" w:rsidR="00017190" w:rsidRDefault="00017190" w:rsidP="00702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These IPSFs are to be used for the entire rate year beginning February 1, 201</w:t>
      </w:r>
      <w:r w:rsidR="00702B26">
        <w:rPr>
          <w:sz w:val="22"/>
          <w:szCs w:val="22"/>
        </w:rPr>
        <w:t>8</w:t>
      </w:r>
      <w:r>
        <w:rPr>
          <w:sz w:val="22"/>
          <w:szCs w:val="22"/>
        </w:rPr>
        <w:t xml:space="preserve">. Subsequent Medicare IPSF updates should not be used. </w:t>
      </w:r>
    </w:p>
    <w:p w14:paraId="3798F660" w14:textId="77777777" w:rsidR="00702B26" w:rsidRDefault="00702B26" w:rsidP="00017190">
      <w:pPr>
        <w:pStyle w:val="Default"/>
        <w:rPr>
          <w:sz w:val="22"/>
          <w:szCs w:val="22"/>
        </w:rPr>
      </w:pPr>
    </w:p>
    <w:p w14:paraId="02309DB7" w14:textId="77777777" w:rsidR="00017190" w:rsidRDefault="00017190" w:rsidP="00702B2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Find the hospital using their numeric or alpha-numeric Medicare provider number, also known as the OSCAR number and/or the National Provider ID (NPI). </w:t>
      </w:r>
    </w:p>
    <w:p w14:paraId="1E1F2AFB" w14:textId="77777777" w:rsidR="00017190" w:rsidRDefault="00017190" w:rsidP="00017190">
      <w:pPr>
        <w:pStyle w:val="Default"/>
        <w:rPr>
          <w:sz w:val="22"/>
          <w:szCs w:val="22"/>
        </w:rPr>
      </w:pPr>
    </w:p>
    <w:p w14:paraId="2CC0AD30" w14:textId="77777777" w:rsidR="00017190" w:rsidRDefault="00017190" w:rsidP="00702B2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CCR to be used in pricing the bill can be found under the column labeled “CCR.” </w:t>
      </w:r>
    </w:p>
    <w:p w14:paraId="76C0D849" w14:textId="77777777" w:rsidR="00017190" w:rsidRDefault="00017190" w:rsidP="00017190">
      <w:pPr>
        <w:pStyle w:val="Default"/>
        <w:rPr>
          <w:sz w:val="22"/>
          <w:szCs w:val="22"/>
        </w:rPr>
      </w:pPr>
    </w:p>
    <w:p w14:paraId="5F365E28" w14:textId="77777777" w:rsidR="00017190" w:rsidRDefault="007745E7" w:rsidP="00702B2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Next, multiply the CCR by 1.14 (</w:t>
      </w:r>
      <w:r w:rsidR="00017190">
        <w:rPr>
          <w:sz w:val="22"/>
          <w:szCs w:val="22"/>
        </w:rPr>
        <w:t xml:space="preserve">114% of cost). </w:t>
      </w:r>
      <w:r>
        <w:rPr>
          <w:sz w:val="22"/>
          <w:szCs w:val="22"/>
        </w:rPr>
        <w:t xml:space="preserve"> </w:t>
      </w:r>
      <w:r w:rsidR="00017190">
        <w:rPr>
          <w:sz w:val="22"/>
          <w:szCs w:val="22"/>
        </w:rPr>
        <w:t xml:space="preserve">Please note, the final CCR used in this calculation </w:t>
      </w:r>
      <w:r w:rsidR="00D77282">
        <w:rPr>
          <w:sz w:val="22"/>
          <w:szCs w:val="22"/>
        </w:rPr>
        <w:t>shall</w:t>
      </w:r>
      <w:r w:rsidR="00017190">
        <w:rPr>
          <w:sz w:val="22"/>
          <w:szCs w:val="22"/>
        </w:rPr>
        <w:t xml:space="preserve"> be capped at .70. </w:t>
      </w:r>
    </w:p>
    <w:p w14:paraId="43C70544" w14:textId="77777777" w:rsidR="00017190" w:rsidRDefault="00017190" w:rsidP="00017190">
      <w:pPr>
        <w:pStyle w:val="Default"/>
        <w:rPr>
          <w:sz w:val="22"/>
          <w:szCs w:val="22"/>
        </w:rPr>
      </w:pPr>
    </w:p>
    <w:p w14:paraId="4521C849" w14:textId="77777777" w:rsidR="00017190" w:rsidRDefault="00017190" w:rsidP="00702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Below is an example of a calculating the final CCR using an CCR of .359: </w:t>
      </w:r>
    </w:p>
    <w:p w14:paraId="3C0D7668" w14:textId="77777777" w:rsidR="00702B26" w:rsidRDefault="00702B26" w:rsidP="00702B26">
      <w:pPr>
        <w:pStyle w:val="Default"/>
        <w:ind w:left="720"/>
        <w:rPr>
          <w:sz w:val="22"/>
          <w:szCs w:val="22"/>
        </w:rPr>
      </w:pPr>
    </w:p>
    <w:p w14:paraId="6B843E1C" w14:textId="77777777" w:rsidR="00017190" w:rsidRDefault="00017190" w:rsidP="00702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.359 x 1.14 = .409 </w:t>
      </w:r>
    </w:p>
    <w:p w14:paraId="4B4F9934" w14:textId="77777777" w:rsidR="00702B26" w:rsidRDefault="00702B26" w:rsidP="00702B26">
      <w:pPr>
        <w:pStyle w:val="Default"/>
        <w:ind w:left="720"/>
        <w:rPr>
          <w:sz w:val="22"/>
          <w:szCs w:val="22"/>
        </w:rPr>
      </w:pPr>
    </w:p>
    <w:p w14:paraId="47B5426C" w14:textId="77777777" w:rsidR="00017190" w:rsidRDefault="00017190" w:rsidP="00702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final CCR (.409) is then multiplied by the allowed </w:t>
      </w:r>
      <w:r w:rsidR="00D77282">
        <w:rPr>
          <w:sz w:val="22"/>
          <w:szCs w:val="22"/>
        </w:rPr>
        <w:t xml:space="preserve">billed </w:t>
      </w:r>
      <w:r>
        <w:rPr>
          <w:sz w:val="22"/>
          <w:szCs w:val="22"/>
        </w:rPr>
        <w:t xml:space="preserve">charges to arrive at the appropriate reimbursement rate. </w:t>
      </w:r>
    </w:p>
    <w:p w14:paraId="0FC1FD9B" w14:textId="77777777" w:rsidR="00D77282" w:rsidRDefault="00D77282" w:rsidP="00702B26">
      <w:pPr>
        <w:pStyle w:val="Default"/>
        <w:ind w:left="720"/>
        <w:rPr>
          <w:sz w:val="22"/>
          <w:szCs w:val="22"/>
        </w:rPr>
      </w:pPr>
    </w:p>
    <w:p w14:paraId="202AEB04" w14:textId="77777777" w:rsidR="00017190" w:rsidRDefault="00017190" w:rsidP="000171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Identifying the CCR for a hospital not listed in the IPSFs: </w:t>
      </w:r>
    </w:p>
    <w:p w14:paraId="2986CBC6" w14:textId="77777777" w:rsidR="00017190" w:rsidRDefault="00017190" w:rsidP="00017190">
      <w:pPr>
        <w:pStyle w:val="Default"/>
        <w:rPr>
          <w:sz w:val="22"/>
          <w:szCs w:val="22"/>
        </w:rPr>
      </w:pPr>
    </w:p>
    <w:p w14:paraId="3344442C" w14:textId="77777777" w:rsidR="00017190" w:rsidRDefault="00017190" w:rsidP="000171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Some hospitals will not be listed in the IPSFs (e.g. new hospitals that have not yet submitted a cost report; some critical access hospitals, etc.). In that case, rule 4123-6-37.1 allows the self</w:t>
      </w:r>
      <w:r w:rsidR="00E415AB">
        <w:rPr>
          <w:sz w:val="22"/>
          <w:szCs w:val="22"/>
        </w:rPr>
        <w:t>-</w:t>
      </w:r>
      <w:r>
        <w:rPr>
          <w:sz w:val="22"/>
          <w:szCs w:val="22"/>
        </w:rPr>
        <w:t xml:space="preserve">insured employer </w:t>
      </w:r>
      <w:r w:rsidR="00E415AB">
        <w:rPr>
          <w:sz w:val="22"/>
          <w:szCs w:val="22"/>
        </w:rPr>
        <w:t>reimbursing</w:t>
      </w:r>
      <w:r>
        <w:rPr>
          <w:sz w:val="22"/>
          <w:szCs w:val="22"/>
        </w:rPr>
        <w:t xml:space="preserve"> under this methodology to utilize the appropriate urban or rural statewide average inpatient CCR instead of the hospital-specific CCR in the </w:t>
      </w:r>
      <w:proofErr w:type="gramStart"/>
      <w:r>
        <w:rPr>
          <w:sz w:val="22"/>
          <w:szCs w:val="22"/>
        </w:rPr>
        <w:t>aforementioned calculation</w:t>
      </w:r>
      <w:proofErr w:type="gramEnd"/>
      <w:r>
        <w:rPr>
          <w:sz w:val="22"/>
          <w:szCs w:val="22"/>
        </w:rPr>
        <w:t xml:space="preserve">. </w:t>
      </w:r>
    </w:p>
    <w:p w14:paraId="5CF80C45" w14:textId="77777777" w:rsidR="00017190" w:rsidRDefault="00017190" w:rsidP="00017190">
      <w:pPr>
        <w:pStyle w:val="Default"/>
        <w:pageBreakBefore/>
        <w:rPr>
          <w:sz w:val="22"/>
          <w:szCs w:val="22"/>
        </w:rPr>
      </w:pPr>
    </w:p>
    <w:p w14:paraId="32FBAD6D" w14:textId="77777777" w:rsidR="00017190" w:rsidRDefault="00017190" w:rsidP="0099656D">
      <w:pPr>
        <w:pStyle w:val="Default"/>
        <w:numPr>
          <w:ilvl w:val="0"/>
          <w:numId w:val="3"/>
        </w:numPr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Identify the address for the physical location of the facility. Specifically, locate the correct county and state. </w:t>
      </w:r>
      <w:r w:rsidR="0099656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 good resource</w:t>
      </w:r>
      <w:proofErr w:type="gramEnd"/>
      <w:r>
        <w:rPr>
          <w:sz w:val="22"/>
          <w:szCs w:val="22"/>
        </w:rPr>
        <w:t xml:space="preserve"> for identifying the county is www.zipinfo.com. </w:t>
      </w:r>
    </w:p>
    <w:p w14:paraId="7C38F9D3" w14:textId="77777777" w:rsidR="0099656D" w:rsidRDefault="00017190" w:rsidP="0099656D">
      <w:pPr>
        <w:pStyle w:val="Default"/>
        <w:numPr>
          <w:ilvl w:val="0"/>
          <w:numId w:val="3"/>
        </w:numPr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Access the Medicare County to CBSA Crosswalk File and Urban CBSAs and Constituent Counties for Acute Care Hospitals File. The file can be found at the following link: </w:t>
      </w:r>
    </w:p>
    <w:p w14:paraId="30D4FB94" w14:textId="77777777" w:rsidR="002A1623" w:rsidRDefault="00647AE3" w:rsidP="002A1623">
      <w:pPr>
        <w:pStyle w:val="Default"/>
        <w:spacing w:after="255"/>
        <w:ind w:left="720"/>
        <w:rPr>
          <w:sz w:val="22"/>
          <w:szCs w:val="22"/>
        </w:rPr>
      </w:pPr>
      <w:hyperlink r:id="rId9" w:history="1">
        <w:r w:rsidR="002A1623" w:rsidRPr="0027593E">
          <w:rPr>
            <w:rStyle w:val="Hyperlink"/>
            <w:sz w:val="22"/>
            <w:szCs w:val="22"/>
          </w:rPr>
          <w:t>https://www.cms.gov/Medicare/Medicare-Fee-for-Service-Payment/AcuteInpatientPPS/FY2018-IPPS-Final-Rule-Home-Page-Items/FY2018-IPPS-Final-Rule-Data-</w:t>
        </w:r>
        <w:bookmarkStart w:id="0" w:name="_GoBack"/>
        <w:bookmarkEnd w:id="0"/>
        <w:r w:rsidR="002A1623" w:rsidRPr="0027593E">
          <w:rPr>
            <w:rStyle w:val="Hyperlink"/>
            <w:sz w:val="22"/>
            <w:szCs w:val="22"/>
          </w:rPr>
          <w:t>Files.html?DLPage=1&amp;DLEntries=10&amp;DLSort=0&amp;DLSortDir=ascending</w:t>
        </w:r>
      </w:hyperlink>
      <w:r w:rsidR="002A1623">
        <w:rPr>
          <w:sz w:val="22"/>
          <w:szCs w:val="22"/>
        </w:rPr>
        <w:t xml:space="preserve"> </w:t>
      </w:r>
    </w:p>
    <w:p w14:paraId="75C43434" w14:textId="77777777" w:rsidR="00017190" w:rsidRDefault="00017190" w:rsidP="0099656D">
      <w:pPr>
        <w:pStyle w:val="Default"/>
        <w:numPr>
          <w:ilvl w:val="0"/>
          <w:numId w:val="3"/>
        </w:numPr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Using the county and state use the crosswalk to determine if the facility county </w:t>
      </w:r>
      <w:proofErr w:type="gramStart"/>
      <w:r>
        <w:rPr>
          <w:sz w:val="22"/>
          <w:szCs w:val="22"/>
        </w:rPr>
        <w:t>is located in</w:t>
      </w:r>
      <w:proofErr w:type="gramEnd"/>
      <w:r>
        <w:rPr>
          <w:sz w:val="22"/>
          <w:szCs w:val="22"/>
        </w:rPr>
        <w:t xml:space="preserve"> a designated core based statistical area (CBSA). If the county is assigned to a CBSA record the CBSA number (it is 5 digits). </w:t>
      </w:r>
      <w:r>
        <w:rPr>
          <w:b/>
          <w:bCs/>
          <w:sz w:val="22"/>
          <w:szCs w:val="22"/>
        </w:rPr>
        <w:t>This facility is an urban facility</w:t>
      </w:r>
      <w:r>
        <w:rPr>
          <w:sz w:val="22"/>
          <w:szCs w:val="22"/>
        </w:rPr>
        <w:t xml:space="preserve">. If the field is blank, </w:t>
      </w:r>
      <w:r>
        <w:rPr>
          <w:b/>
          <w:bCs/>
          <w:sz w:val="22"/>
          <w:szCs w:val="22"/>
        </w:rPr>
        <w:t xml:space="preserve">then it is a rural facility. </w:t>
      </w:r>
    </w:p>
    <w:p w14:paraId="0313AE1F" w14:textId="77777777" w:rsidR="00017190" w:rsidRDefault="00017190" w:rsidP="005E4610">
      <w:pPr>
        <w:pStyle w:val="Default"/>
        <w:numPr>
          <w:ilvl w:val="0"/>
          <w:numId w:val="3"/>
        </w:numPr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Use table 8A, located in the acute inpatient PPS page, </w:t>
      </w:r>
      <w:hyperlink r:id="rId10" w:history="1">
        <w:r w:rsidR="005E4610" w:rsidRPr="0036175C">
          <w:rPr>
            <w:rStyle w:val="Hyperlink"/>
          </w:rPr>
          <w:t>https://www.cms.gov/Medicare/Medicare-Fee-for-Service-Payment/AcuteInpatientPPS/FY2018-IPPS-Final-Rule-Home-Page-Items/FY2018-IPPS-Final-Rule-T</w:t>
        </w:r>
        <w:r w:rsidR="005E4610" w:rsidRPr="0036175C">
          <w:rPr>
            <w:rStyle w:val="Hyperlink"/>
          </w:rPr>
          <w:t>a</w:t>
        </w:r>
        <w:r w:rsidR="005E4610" w:rsidRPr="0036175C">
          <w:rPr>
            <w:rStyle w:val="Hyperlink"/>
          </w:rPr>
          <w:t>bles.html</w:t>
        </w:r>
      </w:hyperlink>
      <w:r w:rsidR="005E4610">
        <w:t xml:space="preserve"> </w:t>
      </w:r>
      <w:r w:rsidR="00023342">
        <w:t xml:space="preserve"> </w:t>
      </w:r>
      <w:r>
        <w:rPr>
          <w:sz w:val="22"/>
          <w:szCs w:val="22"/>
        </w:rPr>
        <w:t xml:space="preserve">Choose the final rule tables, and then choose tables 8A, 8B and 8C. Open the excel file and use tab “8A OPER SWA”. </w:t>
      </w:r>
    </w:p>
    <w:p w14:paraId="250B9F39" w14:textId="77777777" w:rsidR="00017190" w:rsidRDefault="00017190" w:rsidP="006D6899">
      <w:pPr>
        <w:pStyle w:val="Default"/>
        <w:numPr>
          <w:ilvl w:val="0"/>
          <w:numId w:val="3"/>
        </w:numPr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Locate the state and urban or rural figure based on the urban/rural determination made during the wage index CBSA assignment process (step </w:t>
      </w:r>
      <w:r w:rsidR="00A73D61">
        <w:rPr>
          <w:sz w:val="22"/>
          <w:szCs w:val="22"/>
        </w:rPr>
        <w:t>c</w:t>
      </w:r>
      <w:r>
        <w:rPr>
          <w:sz w:val="22"/>
          <w:szCs w:val="22"/>
        </w:rPr>
        <w:t xml:space="preserve"> above). </w:t>
      </w:r>
    </w:p>
    <w:p w14:paraId="49E81DE2" w14:textId="77777777" w:rsidR="00017190" w:rsidRDefault="00017190" w:rsidP="006D6899">
      <w:pPr>
        <w:pStyle w:val="Default"/>
        <w:numPr>
          <w:ilvl w:val="0"/>
          <w:numId w:val="3"/>
        </w:numPr>
        <w:spacing w:after="255"/>
        <w:rPr>
          <w:sz w:val="22"/>
          <w:szCs w:val="22"/>
        </w:rPr>
      </w:pPr>
      <w:r>
        <w:rPr>
          <w:sz w:val="22"/>
          <w:szCs w:val="22"/>
        </w:rPr>
        <w:t>The self</w:t>
      </w:r>
      <w:r w:rsidR="00A73D61">
        <w:rPr>
          <w:sz w:val="22"/>
          <w:szCs w:val="22"/>
        </w:rPr>
        <w:t>-</w:t>
      </w:r>
      <w:r>
        <w:rPr>
          <w:sz w:val="22"/>
          <w:szCs w:val="22"/>
        </w:rPr>
        <w:t xml:space="preserve">insured employer shall multiply this Medicare CCR by 1.14 (114% of cost). Please note, the final CCR used in this calculation should be capped at .70. </w:t>
      </w:r>
    </w:p>
    <w:p w14:paraId="68CF3F37" w14:textId="77777777" w:rsidR="00017190" w:rsidRDefault="00017190" w:rsidP="006D689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final CCR is then multiplied by the allowed </w:t>
      </w:r>
      <w:r w:rsidR="00A73D61">
        <w:rPr>
          <w:sz w:val="22"/>
          <w:szCs w:val="22"/>
        </w:rPr>
        <w:t xml:space="preserve">billed </w:t>
      </w:r>
      <w:r>
        <w:rPr>
          <w:sz w:val="22"/>
          <w:szCs w:val="22"/>
        </w:rPr>
        <w:t xml:space="preserve">charges to arrive at the appropriate reimbursement rate. </w:t>
      </w:r>
    </w:p>
    <w:p w14:paraId="71B91232" w14:textId="77777777" w:rsidR="00365AA0" w:rsidRDefault="00365AA0"/>
    <w:sectPr w:rsidR="00365AA0" w:rsidSect="00FF2856">
      <w:pgSz w:w="12240" w:h="16340"/>
      <w:pgMar w:top="1880" w:right="1202" w:bottom="144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7EE"/>
    <w:multiLevelType w:val="hybridMultilevel"/>
    <w:tmpl w:val="64464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46EA7"/>
    <w:multiLevelType w:val="hybridMultilevel"/>
    <w:tmpl w:val="A1604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8605C"/>
    <w:multiLevelType w:val="hybridMultilevel"/>
    <w:tmpl w:val="F4168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90"/>
    <w:rsid w:val="00015572"/>
    <w:rsid w:val="00017190"/>
    <w:rsid w:val="000218CB"/>
    <w:rsid w:val="00023342"/>
    <w:rsid w:val="00023AB1"/>
    <w:rsid w:val="000310A9"/>
    <w:rsid w:val="00046585"/>
    <w:rsid w:val="0006167D"/>
    <w:rsid w:val="000620CE"/>
    <w:rsid w:val="00062624"/>
    <w:rsid w:val="00064625"/>
    <w:rsid w:val="00067BEC"/>
    <w:rsid w:val="00067E61"/>
    <w:rsid w:val="0007049B"/>
    <w:rsid w:val="000869E5"/>
    <w:rsid w:val="00091721"/>
    <w:rsid w:val="000C124D"/>
    <w:rsid w:val="000C5CB2"/>
    <w:rsid w:val="000E251E"/>
    <w:rsid w:val="000E3A04"/>
    <w:rsid w:val="000E67AD"/>
    <w:rsid w:val="000E73AD"/>
    <w:rsid w:val="000F126E"/>
    <w:rsid w:val="000F5613"/>
    <w:rsid w:val="00105087"/>
    <w:rsid w:val="00105478"/>
    <w:rsid w:val="00106707"/>
    <w:rsid w:val="00115B6C"/>
    <w:rsid w:val="001249F0"/>
    <w:rsid w:val="0013680E"/>
    <w:rsid w:val="001734EA"/>
    <w:rsid w:val="00175817"/>
    <w:rsid w:val="001A0EB0"/>
    <w:rsid w:val="001A56E9"/>
    <w:rsid w:val="001A575F"/>
    <w:rsid w:val="001A7DA7"/>
    <w:rsid w:val="001B1F7D"/>
    <w:rsid w:val="00200E4F"/>
    <w:rsid w:val="00203976"/>
    <w:rsid w:val="0021350A"/>
    <w:rsid w:val="00216727"/>
    <w:rsid w:val="0021798C"/>
    <w:rsid w:val="00223D47"/>
    <w:rsid w:val="002443FF"/>
    <w:rsid w:val="00253BD3"/>
    <w:rsid w:val="0025677E"/>
    <w:rsid w:val="00260009"/>
    <w:rsid w:val="0026087D"/>
    <w:rsid w:val="002643C1"/>
    <w:rsid w:val="00274185"/>
    <w:rsid w:val="0027722A"/>
    <w:rsid w:val="002915C4"/>
    <w:rsid w:val="00296C1A"/>
    <w:rsid w:val="002A1623"/>
    <w:rsid w:val="002A3FBB"/>
    <w:rsid w:val="002A70C4"/>
    <w:rsid w:val="002D0572"/>
    <w:rsid w:val="002E6DB8"/>
    <w:rsid w:val="0030603A"/>
    <w:rsid w:val="00330466"/>
    <w:rsid w:val="00332730"/>
    <w:rsid w:val="00332EBE"/>
    <w:rsid w:val="00333EC7"/>
    <w:rsid w:val="00336612"/>
    <w:rsid w:val="00365003"/>
    <w:rsid w:val="00365AA0"/>
    <w:rsid w:val="003710E7"/>
    <w:rsid w:val="00380F99"/>
    <w:rsid w:val="003A164E"/>
    <w:rsid w:val="003A4ADF"/>
    <w:rsid w:val="003B6CB3"/>
    <w:rsid w:val="003D5219"/>
    <w:rsid w:val="003F0E34"/>
    <w:rsid w:val="003F7429"/>
    <w:rsid w:val="004030FD"/>
    <w:rsid w:val="00406F59"/>
    <w:rsid w:val="004132FC"/>
    <w:rsid w:val="00413D8C"/>
    <w:rsid w:val="00423734"/>
    <w:rsid w:val="00450201"/>
    <w:rsid w:val="004540DA"/>
    <w:rsid w:val="00456EF3"/>
    <w:rsid w:val="004824FE"/>
    <w:rsid w:val="0049662B"/>
    <w:rsid w:val="004A71E1"/>
    <w:rsid w:val="004C421F"/>
    <w:rsid w:val="004D0444"/>
    <w:rsid w:val="004E2FB4"/>
    <w:rsid w:val="004F06D3"/>
    <w:rsid w:val="00505D97"/>
    <w:rsid w:val="00510BFE"/>
    <w:rsid w:val="005356CC"/>
    <w:rsid w:val="00536323"/>
    <w:rsid w:val="005401E2"/>
    <w:rsid w:val="00540B76"/>
    <w:rsid w:val="0055084A"/>
    <w:rsid w:val="005527B0"/>
    <w:rsid w:val="00553994"/>
    <w:rsid w:val="00565918"/>
    <w:rsid w:val="00575276"/>
    <w:rsid w:val="005B457E"/>
    <w:rsid w:val="005B7DFC"/>
    <w:rsid w:val="005C275C"/>
    <w:rsid w:val="005C42C0"/>
    <w:rsid w:val="005C5DE9"/>
    <w:rsid w:val="005E4610"/>
    <w:rsid w:val="005E69C8"/>
    <w:rsid w:val="005E7F71"/>
    <w:rsid w:val="005F0FB1"/>
    <w:rsid w:val="005F3C0E"/>
    <w:rsid w:val="00602F5C"/>
    <w:rsid w:val="0061728D"/>
    <w:rsid w:val="00621876"/>
    <w:rsid w:val="006228A3"/>
    <w:rsid w:val="006270CF"/>
    <w:rsid w:val="006301F9"/>
    <w:rsid w:val="00631E23"/>
    <w:rsid w:val="006358FE"/>
    <w:rsid w:val="00647AE3"/>
    <w:rsid w:val="0065027D"/>
    <w:rsid w:val="006554FB"/>
    <w:rsid w:val="00655BD7"/>
    <w:rsid w:val="0067005D"/>
    <w:rsid w:val="0068041D"/>
    <w:rsid w:val="00684FA8"/>
    <w:rsid w:val="00685887"/>
    <w:rsid w:val="0068710C"/>
    <w:rsid w:val="0069726A"/>
    <w:rsid w:val="006A22C4"/>
    <w:rsid w:val="006C5CA0"/>
    <w:rsid w:val="006C713D"/>
    <w:rsid w:val="006D3440"/>
    <w:rsid w:val="006D6899"/>
    <w:rsid w:val="007007D8"/>
    <w:rsid w:val="00702B26"/>
    <w:rsid w:val="00731B20"/>
    <w:rsid w:val="00733121"/>
    <w:rsid w:val="00750DDC"/>
    <w:rsid w:val="00757302"/>
    <w:rsid w:val="0076747A"/>
    <w:rsid w:val="00770D8B"/>
    <w:rsid w:val="007745E7"/>
    <w:rsid w:val="00774CFF"/>
    <w:rsid w:val="00777667"/>
    <w:rsid w:val="00782BF6"/>
    <w:rsid w:val="00784E04"/>
    <w:rsid w:val="00786F62"/>
    <w:rsid w:val="007919E1"/>
    <w:rsid w:val="00792627"/>
    <w:rsid w:val="00794819"/>
    <w:rsid w:val="007A5E20"/>
    <w:rsid w:val="007A7F1F"/>
    <w:rsid w:val="007B226D"/>
    <w:rsid w:val="007B75CC"/>
    <w:rsid w:val="007C2BD8"/>
    <w:rsid w:val="007C3B61"/>
    <w:rsid w:val="007D1F96"/>
    <w:rsid w:val="007D6037"/>
    <w:rsid w:val="007E1ED8"/>
    <w:rsid w:val="007E2429"/>
    <w:rsid w:val="007E4705"/>
    <w:rsid w:val="007E6DC6"/>
    <w:rsid w:val="007F6C8F"/>
    <w:rsid w:val="008104C4"/>
    <w:rsid w:val="0081132E"/>
    <w:rsid w:val="00813B50"/>
    <w:rsid w:val="00814F19"/>
    <w:rsid w:val="0082442A"/>
    <w:rsid w:val="008252CF"/>
    <w:rsid w:val="0083295B"/>
    <w:rsid w:val="00847D36"/>
    <w:rsid w:val="00866AFB"/>
    <w:rsid w:val="00883F62"/>
    <w:rsid w:val="00894BB6"/>
    <w:rsid w:val="008B37E0"/>
    <w:rsid w:val="008E03FE"/>
    <w:rsid w:val="008F4B02"/>
    <w:rsid w:val="009055AA"/>
    <w:rsid w:val="0090716A"/>
    <w:rsid w:val="0090780E"/>
    <w:rsid w:val="00937738"/>
    <w:rsid w:val="009410F1"/>
    <w:rsid w:val="00951098"/>
    <w:rsid w:val="0095767A"/>
    <w:rsid w:val="00957B4E"/>
    <w:rsid w:val="009637C2"/>
    <w:rsid w:val="0096488A"/>
    <w:rsid w:val="00973A2D"/>
    <w:rsid w:val="0097761F"/>
    <w:rsid w:val="009838C2"/>
    <w:rsid w:val="0099656D"/>
    <w:rsid w:val="009A03C9"/>
    <w:rsid w:val="009D4438"/>
    <w:rsid w:val="009F3001"/>
    <w:rsid w:val="009F6DB9"/>
    <w:rsid w:val="00A02DED"/>
    <w:rsid w:val="00A10189"/>
    <w:rsid w:val="00A175FE"/>
    <w:rsid w:val="00A17C97"/>
    <w:rsid w:val="00A26504"/>
    <w:rsid w:val="00A3287A"/>
    <w:rsid w:val="00A445CB"/>
    <w:rsid w:val="00A54B76"/>
    <w:rsid w:val="00A60B71"/>
    <w:rsid w:val="00A613AF"/>
    <w:rsid w:val="00A73D61"/>
    <w:rsid w:val="00A76135"/>
    <w:rsid w:val="00A83793"/>
    <w:rsid w:val="00A83FF5"/>
    <w:rsid w:val="00A8749D"/>
    <w:rsid w:val="00A926C5"/>
    <w:rsid w:val="00A93F3F"/>
    <w:rsid w:val="00AA1F63"/>
    <w:rsid w:val="00AA37B4"/>
    <w:rsid w:val="00AA4C8F"/>
    <w:rsid w:val="00AD4AD0"/>
    <w:rsid w:val="00AF0244"/>
    <w:rsid w:val="00B04B1B"/>
    <w:rsid w:val="00B0770B"/>
    <w:rsid w:val="00B07927"/>
    <w:rsid w:val="00B15691"/>
    <w:rsid w:val="00B16B52"/>
    <w:rsid w:val="00B17432"/>
    <w:rsid w:val="00B17FC8"/>
    <w:rsid w:val="00B42AA7"/>
    <w:rsid w:val="00B47EB6"/>
    <w:rsid w:val="00B51433"/>
    <w:rsid w:val="00B516E8"/>
    <w:rsid w:val="00B66384"/>
    <w:rsid w:val="00B83CF5"/>
    <w:rsid w:val="00B8692D"/>
    <w:rsid w:val="00BA01F2"/>
    <w:rsid w:val="00BB04EF"/>
    <w:rsid w:val="00BB0B7E"/>
    <w:rsid w:val="00BB27B1"/>
    <w:rsid w:val="00BB697E"/>
    <w:rsid w:val="00BC0698"/>
    <w:rsid w:val="00BC25A5"/>
    <w:rsid w:val="00BD2E38"/>
    <w:rsid w:val="00BD7EAA"/>
    <w:rsid w:val="00BE08C3"/>
    <w:rsid w:val="00C036F0"/>
    <w:rsid w:val="00C213A7"/>
    <w:rsid w:val="00C256A0"/>
    <w:rsid w:val="00C50146"/>
    <w:rsid w:val="00C8405D"/>
    <w:rsid w:val="00C92672"/>
    <w:rsid w:val="00C94504"/>
    <w:rsid w:val="00C95680"/>
    <w:rsid w:val="00CA685F"/>
    <w:rsid w:val="00CB1456"/>
    <w:rsid w:val="00CB2C71"/>
    <w:rsid w:val="00CB4E5D"/>
    <w:rsid w:val="00CB6352"/>
    <w:rsid w:val="00CB638F"/>
    <w:rsid w:val="00CB711C"/>
    <w:rsid w:val="00CF1BF8"/>
    <w:rsid w:val="00CF5559"/>
    <w:rsid w:val="00D01319"/>
    <w:rsid w:val="00D07553"/>
    <w:rsid w:val="00D309C3"/>
    <w:rsid w:val="00D3310A"/>
    <w:rsid w:val="00D33209"/>
    <w:rsid w:val="00D40F2A"/>
    <w:rsid w:val="00D77282"/>
    <w:rsid w:val="00D863B2"/>
    <w:rsid w:val="00D90816"/>
    <w:rsid w:val="00D94D4E"/>
    <w:rsid w:val="00D96EDE"/>
    <w:rsid w:val="00D96F64"/>
    <w:rsid w:val="00DA5D34"/>
    <w:rsid w:val="00DB2927"/>
    <w:rsid w:val="00DC6ACF"/>
    <w:rsid w:val="00DD6B6D"/>
    <w:rsid w:val="00DE174A"/>
    <w:rsid w:val="00E22230"/>
    <w:rsid w:val="00E415AB"/>
    <w:rsid w:val="00E42BC8"/>
    <w:rsid w:val="00E46945"/>
    <w:rsid w:val="00E74BE8"/>
    <w:rsid w:val="00E93182"/>
    <w:rsid w:val="00E9532C"/>
    <w:rsid w:val="00EA6EDC"/>
    <w:rsid w:val="00EB0143"/>
    <w:rsid w:val="00EC6054"/>
    <w:rsid w:val="00ED4411"/>
    <w:rsid w:val="00EE4A44"/>
    <w:rsid w:val="00EE64CF"/>
    <w:rsid w:val="00EF2DFA"/>
    <w:rsid w:val="00EF3244"/>
    <w:rsid w:val="00EF52D8"/>
    <w:rsid w:val="00EF546C"/>
    <w:rsid w:val="00EF6280"/>
    <w:rsid w:val="00F01AA7"/>
    <w:rsid w:val="00F045F9"/>
    <w:rsid w:val="00F10D0A"/>
    <w:rsid w:val="00F1312C"/>
    <w:rsid w:val="00F2194B"/>
    <w:rsid w:val="00F30B70"/>
    <w:rsid w:val="00F3383F"/>
    <w:rsid w:val="00F42EEC"/>
    <w:rsid w:val="00F50A7F"/>
    <w:rsid w:val="00F6156C"/>
    <w:rsid w:val="00F6541C"/>
    <w:rsid w:val="00F7238C"/>
    <w:rsid w:val="00F82A89"/>
    <w:rsid w:val="00F91393"/>
    <w:rsid w:val="00F92F25"/>
    <w:rsid w:val="00F95D6C"/>
    <w:rsid w:val="00FA7478"/>
    <w:rsid w:val="00FB1143"/>
    <w:rsid w:val="00FB703C"/>
    <w:rsid w:val="00FC3D5C"/>
    <w:rsid w:val="00FC6508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8CA3"/>
  <w15:chartTrackingRefBased/>
  <w15:docId w15:val="{06A562C2-BA3B-43EA-8E95-CCED923C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AF"/>
  </w:style>
  <w:style w:type="paragraph" w:customStyle="1" w:styleId="Default">
    <w:name w:val="Default"/>
    <w:rsid w:val="000171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00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0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0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Medicare-Fee-for-Service-Payment/ProspMedicareFeeSvcPmtGen/psf_tex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ms.gov/Medicare/Medicare-Fee-for-Service-Payment/AcuteInpatientPPS/FY2018-IPPS-Final-Rule-Home-Page-Items/FY2018-IPPS-Final-Rule-Table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ms.gov/Medicare/Medicare-Fee-for-Service-Payment/AcuteInpatientPPS/FY2018-IPPS-Final-Rule-Home-Page-Items/FY2018-IPPS-Final-Rule-Data-Files.html?DLPage=1&amp;DLEntries=10&amp;DLSort=0&amp;DLSortDir=asce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4BA428C5E7C4AB5A57FA8BA1ADEBD" ma:contentTypeVersion="13" ma:contentTypeDescription="Create a new document." ma:contentTypeScope="" ma:versionID="483d311c024b82444e3026436010aa98">
  <xsd:schema xmlns:xsd="http://www.w3.org/2001/XMLSchema" xmlns:xs="http://www.w3.org/2001/XMLSchema" xmlns:p="http://schemas.microsoft.com/office/2006/metadata/properties" xmlns:ns2="5ca5bbb1-721f-4c09-a5b1-1e1c95f5a9e6" targetNamespace="http://schemas.microsoft.com/office/2006/metadata/properties" ma:root="true" ma:fieldsID="b41d2256d88e7bc9094ba02fa3653c24" ns2:_="">
    <xsd:import namespace="5ca5bbb1-721f-4c09-a5b1-1e1c95f5a9e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5bbb1-721f-4c09-a5b1-1e1c95f5a9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BC751-D145-4506-A55E-8837A194D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5bbb1-721f-4c09-a5b1-1e1c95f5a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C8AAA-C081-465D-97CC-095FE68EA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716F4-13B1-4422-B118-1D4455AC5140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ca5bbb1-721f-4c09-a5b1-1e1c95f5a9e6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Lisa</dc:creator>
  <cp:keywords/>
  <dc:description/>
  <cp:lastModifiedBy>Landon Lisa</cp:lastModifiedBy>
  <cp:revision>2</cp:revision>
  <dcterms:created xsi:type="dcterms:W3CDTF">2018-04-02T16:41:00Z</dcterms:created>
  <dcterms:modified xsi:type="dcterms:W3CDTF">2018-04-02T16:41:00Z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0x01010099C4BA428C5E7C4AB5A57FA8BA1ADEBD</vt:lpwstr>
  </property>
</Properties>
</file>